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Calibri" w:hAnsi="Calibri" w:eastAsia="方正小标宋简体" w:cs="Times New Roman"/>
          <w:color w:val="auto"/>
          <w:spacing w:val="83"/>
          <w:w w:val="80"/>
          <w:sz w:val="180"/>
          <w:szCs w:val="180"/>
        </w:rPr>
      </w:pPr>
    </w:p>
    <w:p>
      <w:pPr>
        <w:spacing w:line="360" w:lineRule="auto"/>
        <w:jc w:val="center"/>
        <w:rPr>
          <w:rFonts w:hint="eastAsia" w:ascii="Calibri" w:hAnsi="Calibri" w:eastAsia="方正小标宋简体" w:cs="Times New Roman"/>
          <w:color w:val="auto"/>
          <w:spacing w:val="83"/>
          <w:w w:val="80"/>
          <w:sz w:val="96"/>
          <w:szCs w:val="96"/>
        </w:rPr>
      </w:pPr>
      <w:r>
        <w:rPr>
          <w:rFonts w:eastAsia="宋体" w:cs="Times New Roman"/>
          <w:color w:val="auto"/>
          <w:sz w:val="96"/>
          <w:szCs w:val="22"/>
        </w:rPr>
        <mc:AlternateContent>
          <mc:Choice Requires="wpg">
            <w:drawing>
              <wp:anchor distT="0" distB="0" distL="114300" distR="114300" simplePos="0" relativeHeight="251662336" behindDoc="0" locked="0" layoutInCell="1" allowOverlap="1">
                <wp:simplePos x="0" y="0"/>
                <wp:positionH relativeFrom="column">
                  <wp:posOffset>-326390</wp:posOffset>
                </wp:positionH>
                <wp:positionV relativeFrom="page">
                  <wp:posOffset>2578735</wp:posOffset>
                </wp:positionV>
                <wp:extent cx="5924550" cy="1946275"/>
                <wp:effectExtent l="0" t="0" r="0" b="0"/>
                <wp:wrapNone/>
                <wp:docPr id="13" name="组合 13"/>
                <wp:cNvGraphicFramePr/>
                <a:graphic xmlns:a="http://schemas.openxmlformats.org/drawingml/2006/main">
                  <a:graphicData uri="http://schemas.microsoft.com/office/word/2010/wordprocessingGroup">
                    <wpg:wgp>
                      <wpg:cNvGrpSpPr/>
                      <wpg:grpSpPr>
                        <a:xfrm>
                          <a:off x="0" y="0"/>
                          <a:ext cx="5924550" cy="1946275"/>
                          <a:chOff x="6004" y="1402"/>
                          <a:chExt cx="9330" cy="6887"/>
                        </a:xfrm>
                        <a:effectLst/>
                      </wpg:grpSpPr>
                      <wps:wsp>
                        <wps:cNvPr id="14" name="直接连接符 3"/>
                        <wps:cNvCnPr/>
                        <wps:spPr>
                          <a:xfrm>
                            <a:off x="6344" y="8289"/>
                            <a:ext cx="8844" cy="0"/>
                          </a:xfrm>
                          <a:prstGeom prst="line">
                            <a:avLst/>
                          </a:prstGeom>
                          <a:ln w="15240" cap="flat" cmpd="sng">
                            <a:solidFill>
                              <a:srgbClr val="FF0000"/>
                            </a:solidFill>
                            <a:prstDash val="solid"/>
                            <a:round/>
                            <a:headEnd type="none" w="med" len="med"/>
                            <a:tailEnd type="none" w="med" len="med"/>
                          </a:ln>
                          <a:effectLst/>
                        </wps:spPr>
                        <wps:bodyPr/>
                      </wps:wsp>
                      <wps:wsp>
                        <wps:cNvPr id="15" name="文本框 4"/>
                        <wps:cNvSpPr txBox="1"/>
                        <wps:spPr>
                          <a:xfrm>
                            <a:off x="6004" y="1402"/>
                            <a:ext cx="9330" cy="6299"/>
                          </a:xfrm>
                          <a:prstGeom prst="rect">
                            <a:avLst/>
                          </a:prstGeom>
                          <a:noFill/>
                          <a:ln>
                            <a:noFill/>
                          </a:ln>
                          <a:effectLst/>
                        </wps:spPr>
                        <wps:txbx>
                          <w:txbxContent>
                            <w:p>
                              <w:pPr>
                                <w:jc w:val="center"/>
                                <w:rPr>
                                  <w:rFonts w:ascii="Times New Roman" w:hAnsi="Times New Roman" w:eastAsia="方正小标宋简体" w:cs="Times New Roman"/>
                                  <w:color w:val="FF0000"/>
                                  <w:spacing w:val="83"/>
                                  <w:w w:val="80"/>
                                  <w:sz w:val="96"/>
                                  <w:szCs w:val="96"/>
                                </w:rPr>
                              </w:pPr>
                              <w:r>
                                <w:rPr>
                                  <w:rFonts w:hint="eastAsia" w:ascii="Times New Roman" w:hAnsi="Times New Roman" w:eastAsia="方正小标宋简体" w:cs="Times New Roman"/>
                                  <w:color w:val="FF0000"/>
                                  <w:spacing w:val="96"/>
                                  <w:w w:val="80"/>
                                  <w:sz w:val="102"/>
                                  <w:szCs w:val="102"/>
                                </w:rPr>
                                <w:t>郑州工商学院文件</w:t>
                              </w:r>
                            </w:p>
                            <w:p>
                              <w:pPr>
                                <w:rPr>
                                  <w:rFonts w:eastAsia="宋体" w:cs="Times New Roman"/>
                                  <w:sz w:val="56"/>
                                  <w:szCs w:val="96"/>
                                </w:rPr>
                              </w:pPr>
                            </w:p>
                            <w:p>
                              <w:pPr>
                                <w:pStyle w:val="11"/>
                              </w:pPr>
                            </w:p>
                          </w:txbxContent>
                        </wps:txbx>
                        <wps:bodyPr upright="1"/>
                      </wps:wsp>
                    </wpg:wgp>
                  </a:graphicData>
                </a:graphic>
              </wp:anchor>
            </w:drawing>
          </mc:Choice>
          <mc:Fallback>
            <w:pict>
              <v:group id="_x0000_s1026" o:spid="_x0000_s1026" o:spt="203" style="position:absolute;left:0pt;margin-left:-25.7pt;margin-top:203.05pt;height:153.25pt;width:466.5pt;mso-position-vertical-relative:page;z-index:251662336;mso-width-relative:page;mso-height-relative:page;" coordorigin="6004,1402" coordsize="9330,6887" o:gfxdata="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KXUumtsAAAALAQAADwAAAAAAAAABACAAAAAiAAAAZHJzL2Rvd25yZXYueG1sUEsB&#10;AhQAFAAAAAgAh07iQGIH2rHWAgAAtgYAAA4AAAAAAAAAAQAgAAAAKgEAAGRycy9lMm9Eb2MueG1s&#10;UEsFBgAAAAAGAAYAWQEAAHIGAAAAAA==&#10;">
                <o:lock v:ext="edit" aspectratio="f"/>
                <v:line id="直接连接符 3" o:spid="_x0000_s1026" o:spt="20" style="position:absolute;left:6344;top:8289;height:0;width:8844;" filled="f" stroked="t" coordsize="21600,21600" o:gfxdata="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dobDr4A&#10;AADbAAAADwAAAAAAAAABACAAAAAiAAAAZHJzL2Rvd25yZXYueG1sUEsBAhQAFAAAAAgAh07iQDMv&#10;BZ47AAAAOQAAABAAAAAAAAAAAQAgAAAADQEAAGRycy9zaGFwZXhtbC54bWxQSwUGAAAAAAYABgBb&#10;AQAAtwMAAAAA&#10;">
                  <v:fill on="f" focussize="0,0"/>
                  <v:stroke weight="1.2pt" color="#FF0000" joinstyle="round"/>
                  <v:imagedata o:title=""/>
                  <o:lock v:ext="edit" aspectratio="f"/>
                </v:line>
                <v:shape id="文本框 4" o:spid="_x0000_s1026" o:spt="202" type="#_x0000_t202" style="position:absolute;left:6004;top:1402;height:6299;width:9330;"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Times New Roman" w:hAnsi="Times New Roman" w:eastAsia="方正小标宋简体" w:cs="Times New Roman"/>
                            <w:color w:val="FF0000"/>
                            <w:spacing w:val="83"/>
                            <w:w w:val="80"/>
                            <w:sz w:val="96"/>
                            <w:szCs w:val="96"/>
                          </w:rPr>
                        </w:pPr>
                        <w:r>
                          <w:rPr>
                            <w:rFonts w:hint="eastAsia" w:ascii="Times New Roman" w:hAnsi="Times New Roman" w:eastAsia="方正小标宋简体" w:cs="Times New Roman"/>
                            <w:color w:val="FF0000"/>
                            <w:spacing w:val="96"/>
                            <w:w w:val="80"/>
                            <w:sz w:val="102"/>
                            <w:szCs w:val="102"/>
                          </w:rPr>
                          <w:t>郑州工商学院文件</w:t>
                        </w:r>
                      </w:p>
                      <w:p>
                        <w:pPr>
                          <w:rPr>
                            <w:rFonts w:eastAsia="宋体" w:cs="Times New Roman"/>
                            <w:sz w:val="56"/>
                            <w:szCs w:val="96"/>
                          </w:rPr>
                        </w:pPr>
                      </w:p>
                      <w:p>
                        <w:pPr>
                          <w:pStyle w:val="11"/>
                        </w:pPr>
                      </w:p>
                    </w:txbxContent>
                  </v:textbox>
                </v:shape>
              </v:group>
            </w:pict>
          </mc:Fallback>
        </mc:AlternateContent>
      </w:r>
    </w:p>
    <w:p>
      <w:pPr>
        <w:rPr>
          <w:rFonts w:hint="eastAsia" w:ascii="仿宋_GB2312" w:hAnsi="Calibri" w:eastAsia="仿宋_GB2312" w:cs="Times New Roman"/>
          <w:color w:val="auto"/>
          <w:sz w:val="28"/>
          <w:szCs w:val="28"/>
        </w:rPr>
      </w:pPr>
    </w:p>
    <w:p>
      <w:pPr>
        <w:rPr>
          <w:rFonts w:hint="eastAsia" w:ascii="仿宋_GB2312" w:hAnsi="Calibri" w:eastAsia="仿宋_GB2312" w:cs="Times New Roman"/>
          <w:color w:val="auto"/>
          <w:sz w:val="28"/>
          <w:szCs w:val="28"/>
        </w:rPr>
      </w:pPr>
    </w:p>
    <w:p>
      <w:pPr>
        <w:jc w:val="center"/>
        <w:rPr>
          <w:rFonts w:hint="eastAsia" w:ascii="楷体_GB2312" w:hAnsi="楷体_GB2312" w:eastAsia="仿宋_GB2312" w:cs="楷体_GB2312"/>
          <w:color w:val="auto"/>
          <w:sz w:val="32"/>
          <w:szCs w:val="32"/>
        </w:rPr>
      </w:pPr>
      <w:r>
        <w:rPr>
          <w:rFonts w:hint="eastAsia" w:ascii="仿宋_GB2312" w:hAnsi="仿宋_GB2312" w:eastAsia="仿宋_GB2312" w:cs="仿宋_GB2312"/>
          <w:color w:val="auto"/>
          <w:sz w:val="32"/>
          <w:szCs w:val="32"/>
          <w:lang w:val="en-US" w:eastAsia="zh-CN"/>
        </w:rPr>
        <w:t>校人</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号</w:t>
      </w:r>
    </w:p>
    <w:p>
      <w:pPr>
        <w:adjustRightInd w:val="0"/>
        <w:snapToGrid w:val="0"/>
        <w:spacing w:line="360" w:lineRule="auto"/>
        <w:jc w:val="center"/>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topLinePunct w:val="0"/>
        <w:autoSpaceDE w:val="0"/>
        <w:autoSpaceDN/>
        <w:bidi w:val="0"/>
        <w:adjustRightInd w:val="0"/>
        <w:snapToGrid w:val="0"/>
        <w:spacing w:line="240" w:lineRule="auto"/>
        <w:jc w:val="center"/>
        <w:textAlignment w:val="auto"/>
        <w:rPr>
          <w:rFonts w:hint="eastAsia" w:ascii="方正小标宋简体" w:hAnsi="Times New Roman" w:eastAsia="方正小标宋简体" w:cs="Times New Roman"/>
          <w:b w:val="0"/>
          <w:bCs w:val="0"/>
          <w:color w:val="auto"/>
          <w:w w:val="100"/>
          <w:sz w:val="44"/>
          <w:szCs w:val="44"/>
          <w:lang w:val="en-US" w:eastAsia="zh-CN"/>
        </w:rPr>
      </w:pPr>
      <w:r>
        <w:rPr>
          <w:rStyle w:val="8"/>
          <w:rFonts w:hint="eastAsia" w:ascii="方正小标宋简体" w:hAnsi="方正小标宋简体" w:eastAsia="方正小标宋简体" w:cs="方正小标宋简体"/>
          <w:b w:val="0"/>
          <w:bCs/>
          <w:color w:val="auto"/>
          <w:w w:val="100"/>
          <w:kern w:val="2"/>
          <w:sz w:val="44"/>
          <w:szCs w:val="44"/>
          <w:lang w:val="en-US" w:eastAsia="zh-CN" w:bidi="ar-SA"/>
        </w:rPr>
        <w:t>关于印发《专业技术职务自主评审实施方案》的通知</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0" w:firstLineChars="0"/>
        <w:textAlignment w:val="auto"/>
        <w:rPr>
          <w:rFonts w:hint="eastAsia" w:ascii="仿宋_GB2312" w:hAnsi="Calibri" w:eastAsia="仿宋_GB2312"/>
          <w:color w:val="auto"/>
          <w:w w:val="1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0" w:firstLineChars="0"/>
        <w:textAlignment w:val="auto"/>
        <w:rPr>
          <w:rFonts w:hint="eastAsia" w:ascii="仿宋_GB2312" w:hAnsi="Calibri" w:eastAsia="仿宋_GB2312"/>
          <w:color w:val="auto"/>
          <w:w w:val="100"/>
          <w:sz w:val="32"/>
          <w:szCs w:val="32"/>
          <w:lang w:eastAsia="zh-CN"/>
        </w:rPr>
      </w:pPr>
      <w:r>
        <w:rPr>
          <w:rFonts w:hint="eastAsia" w:ascii="仿宋_GB2312" w:hAnsi="Calibri" w:eastAsia="仿宋_GB2312"/>
          <w:color w:val="auto"/>
          <w:w w:val="100"/>
          <w:sz w:val="32"/>
          <w:szCs w:val="32"/>
          <w:lang w:eastAsia="zh-CN"/>
        </w:rPr>
        <w:t>各部门、各单位：</w:t>
      </w:r>
    </w:p>
    <w:p>
      <w:pPr>
        <w:pStyle w:val="9"/>
        <w:keepNext w:val="0"/>
        <w:keepLines w:val="0"/>
        <w:pageBreakBefore w:val="0"/>
        <w:widowControl w:val="0"/>
        <w:kinsoku/>
        <w:wordWrap/>
        <w:overflowPunct/>
        <w:topLinePunct w:val="0"/>
        <w:autoSpaceDE/>
        <w:autoSpaceDN/>
        <w:bidi w:val="0"/>
        <w:adjustRightInd w:val="0"/>
        <w:snapToGrid w:val="0"/>
        <w:spacing w:line="336" w:lineRule="auto"/>
        <w:ind w:right="0" w:rightChars="0" w:firstLine="640" w:firstLineChars="200"/>
        <w:jc w:val="both"/>
        <w:textAlignment w:val="auto"/>
        <w:rPr>
          <w:rFonts w:hint="eastAsia" w:ascii="仿宋_GB2312" w:hAnsi="仿宋_GB2312" w:eastAsia="仿宋_GB2312" w:cs="仿宋_GB2312"/>
          <w:color w:val="auto"/>
          <w:w w:val="100"/>
          <w:sz w:val="32"/>
          <w:szCs w:val="32"/>
          <w:lang w:eastAsia="zh-CN"/>
        </w:rPr>
      </w:pPr>
      <w:r>
        <w:rPr>
          <w:rFonts w:hint="eastAsia" w:ascii="仿宋_GB2312" w:hAnsi="仿宋_GB2312" w:eastAsia="仿宋_GB2312" w:cs="仿宋_GB2312"/>
          <w:color w:val="auto"/>
          <w:w w:val="100"/>
          <w:sz w:val="32"/>
          <w:szCs w:val="32"/>
          <w:lang w:eastAsia="zh-CN"/>
        </w:rPr>
        <w:t>《专业技术职务自主评审实施方案》已经学校研究通过，现予以印发。</w:t>
      </w:r>
    </w:p>
    <w:p>
      <w:pPr>
        <w:keepNext w:val="0"/>
        <w:keepLines w:val="0"/>
        <w:pageBreakBefore w:val="0"/>
        <w:widowControl w:val="0"/>
        <w:kinsoku/>
        <w:wordWrap/>
        <w:overflowPunct/>
        <w:topLinePunct w:val="0"/>
        <w:autoSpaceDE/>
        <w:autoSpaceDN/>
        <w:bidi w:val="0"/>
        <w:adjustRightInd w:val="0"/>
        <w:snapToGrid w:val="0"/>
        <w:spacing w:line="336" w:lineRule="auto"/>
        <w:ind w:right="0" w:rightChars="0" w:firstLine="640" w:firstLineChars="200"/>
        <w:textAlignment w:val="auto"/>
        <w:rPr>
          <w:rFonts w:hint="eastAsia" w:ascii="仿宋_GB2312" w:eastAsia="仿宋_GB2312"/>
          <w:color w:val="auto"/>
          <w:w w:val="100"/>
          <w:sz w:val="32"/>
          <w:szCs w:val="32"/>
          <w:lang w:eastAsia="zh-CN"/>
        </w:rPr>
      </w:pPr>
    </w:p>
    <w:p>
      <w:pPr>
        <w:keepNext w:val="0"/>
        <w:keepLines w:val="0"/>
        <w:pageBreakBefore w:val="0"/>
        <w:widowControl w:val="0"/>
        <w:kinsoku/>
        <w:wordWrap/>
        <w:overflowPunct/>
        <w:topLinePunct w:val="0"/>
        <w:autoSpaceDE w:val="0"/>
        <w:autoSpaceDN/>
        <w:bidi w:val="0"/>
        <w:adjustRightInd w:val="0"/>
        <w:snapToGrid w:val="0"/>
        <w:spacing w:line="336" w:lineRule="auto"/>
        <w:ind w:right="0" w:rightChars="0" w:firstLine="640" w:firstLineChars="200"/>
        <w:jc w:val="both"/>
        <w:textAlignment w:val="auto"/>
        <w:rPr>
          <w:rFonts w:hint="eastAsia" w:ascii="仿宋_GB2312" w:hAnsi="华文仿宋" w:eastAsia="仿宋_GB2312"/>
          <w:color w:val="auto"/>
          <w:w w:val="100"/>
          <w:sz w:val="32"/>
          <w:szCs w:val="32"/>
        </w:rPr>
      </w:pPr>
    </w:p>
    <w:p>
      <w:pPr>
        <w:keepNext w:val="0"/>
        <w:keepLines w:val="0"/>
        <w:pageBreakBefore w:val="0"/>
        <w:widowControl w:val="0"/>
        <w:kinsoku/>
        <w:wordWrap w:val="0"/>
        <w:overflowPunct/>
        <w:topLinePunct w:val="0"/>
        <w:autoSpaceDE w:val="0"/>
        <w:autoSpaceDN/>
        <w:bidi w:val="0"/>
        <w:adjustRightInd w:val="0"/>
        <w:snapToGrid w:val="0"/>
        <w:spacing w:line="336" w:lineRule="auto"/>
        <w:ind w:right="0" w:rightChars="0" w:firstLine="0" w:firstLineChars="0"/>
        <w:jc w:val="right"/>
        <w:textAlignment w:val="auto"/>
        <w:rPr>
          <w:rFonts w:hint="default" w:ascii="仿宋_GB2312" w:hAnsi="华文仿宋" w:eastAsia="仿宋_GB2312"/>
          <w:color w:val="auto"/>
          <w:w w:val="100"/>
          <w:sz w:val="32"/>
          <w:szCs w:val="32"/>
          <w:lang w:val="en-US" w:eastAsia="zh-CN"/>
        </w:rPr>
      </w:pPr>
      <w:r>
        <w:rPr>
          <w:rFonts w:hint="eastAsia" w:ascii="仿宋_GB2312" w:hAnsi="华文仿宋" w:eastAsia="仿宋_GB2312"/>
          <w:color w:val="auto"/>
          <w:w w:val="100"/>
          <w:sz w:val="32"/>
          <w:szCs w:val="32"/>
        </w:rPr>
        <w:t>郑州工商学院</w:t>
      </w:r>
      <w:r>
        <w:rPr>
          <w:rFonts w:hint="eastAsia" w:ascii="仿宋_GB2312" w:hAnsi="华文仿宋" w:eastAsia="仿宋_GB2312"/>
          <w:color w:val="auto"/>
          <w:w w:val="100"/>
          <w:sz w:val="32"/>
          <w:szCs w:val="32"/>
          <w:lang w:val="en-US" w:eastAsia="zh-CN"/>
        </w:rPr>
        <w:t xml:space="preserve">          </w:t>
      </w:r>
    </w:p>
    <w:p>
      <w:pPr>
        <w:keepNext w:val="0"/>
        <w:keepLines w:val="0"/>
        <w:pageBreakBefore w:val="0"/>
        <w:widowControl w:val="0"/>
        <w:kinsoku/>
        <w:wordWrap w:val="0"/>
        <w:overflowPunct/>
        <w:topLinePunct w:val="0"/>
        <w:autoSpaceDE w:val="0"/>
        <w:autoSpaceDN/>
        <w:bidi w:val="0"/>
        <w:adjustRightInd w:val="0"/>
        <w:snapToGrid w:val="0"/>
        <w:spacing w:line="336" w:lineRule="auto"/>
        <w:ind w:right="0" w:rightChars="0" w:firstLine="0" w:firstLineChars="0"/>
        <w:jc w:val="right"/>
        <w:textAlignment w:val="auto"/>
        <w:rPr>
          <w:rFonts w:hint="eastAsia" w:ascii="仿宋_GB2312" w:hAnsi="华文仿宋" w:eastAsia="仿宋_GB2312"/>
          <w:color w:val="auto"/>
          <w:w w:val="100"/>
          <w:sz w:val="32"/>
          <w:szCs w:val="32"/>
          <w:lang w:val="en-US" w:eastAsia="zh-CN"/>
        </w:rPr>
      </w:pPr>
      <w:r>
        <w:rPr>
          <w:rFonts w:hint="eastAsia" w:ascii="仿宋_GB2312" w:hAnsi="华文仿宋" w:eastAsia="仿宋_GB2312"/>
          <w:color w:val="auto"/>
          <w:w w:val="100"/>
          <w:sz w:val="32"/>
          <w:szCs w:val="32"/>
        </w:rPr>
        <w:t>202</w:t>
      </w:r>
      <w:r>
        <w:rPr>
          <w:rFonts w:hint="eastAsia" w:ascii="仿宋_GB2312" w:hAnsi="华文仿宋" w:eastAsia="仿宋_GB2312"/>
          <w:color w:val="auto"/>
          <w:w w:val="100"/>
          <w:sz w:val="32"/>
          <w:szCs w:val="32"/>
          <w:lang w:val="en-US" w:eastAsia="zh-CN"/>
        </w:rPr>
        <w:t>3</w:t>
      </w:r>
      <w:r>
        <w:rPr>
          <w:rFonts w:hint="eastAsia" w:ascii="仿宋_GB2312" w:hAnsi="华文仿宋" w:eastAsia="仿宋_GB2312"/>
          <w:color w:val="auto"/>
          <w:w w:val="100"/>
          <w:sz w:val="32"/>
          <w:szCs w:val="32"/>
        </w:rPr>
        <w:t>年</w:t>
      </w:r>
      <w:r>
        <w:rPr>
          <w:rFonts w:hint="eastAsia" w:ascii="仿宋_GB2312" w:hAnsi="华文仿宋" w:eastAsia="仿宋_GB2312"/>
          <w:color w:val="auto"/>
          <w:w w:val="100"/>
          <w:sz w:val="32"/>
          <w:szCs w:val="32"/>
          <w:lang w:val="en-US" w:eastAsia="zh-CN"/>
        </w:rPr>
        <w:t>6</w:t>
      </w:r>
      <w:r>
        <w:rPr>
          <w:rFonts w:hint="eastAsia" w:ascii="仿宋_GB2312" w:hAnsi="华文仿宋" w:eastAsia="仿宋_GB2312"/>
          <w:color w:val="auto"/>
          <w:w w:val="100"/>
          <w:sz w:val="32"/>
          <w:szCs w:val="32"/>
        </w:rPr>
        <w:t>月</w:t>
      </w:r>
      <w:r>
        <w:rPr>
          <w:rFonts w:hint="eastAsia" w:ascii="仿宋_GB2312" w:hAnsi="华文仿宋" w:eastAsia="仿宋_GB2312"/>
          <w:color w:val="auto"/>
          <w:w w:val="100"/>
          <w:sz w:val="32"/>
          <w:szCs w:val="32"/>
          <w:lang w:val="en-US" w:eastAsia="zh-CN"/>
        </w:rPr>
        <w:t>7</w:t>
      </w:r>
      <w:r>
        <w:rPr>
          <w:rFonts w:hint="eastAsia" w:ascii="仿宋_GB2312" w:hAnsi="华文仿宋" w:eastAsia="仿宋_GB2312"/>
          <w:color w:val="auto"/>
          <w:w w:val="100"/>
          <w:sz w:val="32"/>
          <w:szCs w:val="32"/>
        </w:rPr>
        <w:t>日</w:t>
      </w:r>
      <w:r>
        <w:rPr>
          <w:rFonts w:hint="eastAsia" w:ascii="仿宋_GB2312" w:hAnsi="华文仿宋" w:eastAsia="仿宋_GB2312"/>
          <w:color w:val="auto"/>
          <w:w w:val="100"/>
          <w:sz w:val="32"/>
          <w:szCs w:val="32"/>
          <w:lang w:val="en-US" w:eastAsia="zh-CN"/>
        </w:rPr>
        <w:t xml:space="preserve">        </w:t>
      </w:r>
    </w:p>
    <w:p>
      <w:pPr>
        <w:pStyle w:val="3"/>
        <w:keepNext w:val="0"/>
        <w:keepLines w:val="0"/>
        <w:pageBreakBefore w:val="0"/>
        <w:widowControl w:val="0"/>
        <w:kinsoku/>
        <w:wordWrap/>
        <w:overflowPunct/>
        <w:topLinePunct w:val="0"/>
        <w:autoSpaceDN/>
        <w:bidi w:val="0"/>
        <w:adjustRightInd w:val="0"/>
        <w:snapToGrid w:val="0"/>
        <w:spacing w:line="336" w:lineRule="auto"/>
        <w:textAlignment w:val="auto"/>
        <w:rPr>
          <w:rFonts w:hint="eastAsia" w:ascii="仿宋_GB2312" w:hAnsi="华文仿宋" w:eastAsia="仿宋_GB2312"/>
          <w:color w:val="auto"/>
          <w:w w:val="100"/>
          <w:sz w:val="32"/>
          <w:szCs w:val="32"/>
          <w:lang w:val="en-US" w:eastAsia="zh-CN"/>
        </w:rPr>
      </w:pPr>
    </w:p>
    <w:p>
      <w:pPr>
        <w:rPr>
          <w:rFonts w:hint="default"/>
          <w:color w:val="auto"/>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rPr>
          <w:rStyle w:val="10"/>
          <w:rFonts w:hint="default" w:ascii="方正小标宋简体" w:hAnsi="方正小标宋简体" w:eastAsia="方正小标宋简体" w:cs="方正小标宋简体"/>
          <w:color w:val="auto"/>
          <w:kern w:val="0"/>
          <w:sz w:val="44"/>
          <w:szCs w:val="44"/>
          <w:lang w:val="en-US" w:eastAsia="zh-CN"/>
        </w:rPr>
      </w:pPr>
      <w:r>
        <w:rPr>
          <w:rStyle w:val="10"/>
          <w:rFonts w:hint="eastAsia" w:ascii="方正小标宋简体" w:hAnsi="方正小标宋简体" w:eastAsia="方正小标宋简体" w:cs="方正小标宋简体"/>
          <w:color w:val="auto"/>
          <w:kern w:val="0"/>
          <w:sz w:val="44"/>
          <w:szCs w:val="44"/>
        </w:rPr>
        <w:t>专业技术职务自主评审实施方案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336" w:lineRule="auto"/>
        <w:jc w:val="center"/>
        <w:textAlignment w:val="auto"/>
        <w:rPr>
          <w:rFonts w:hint="eastAsia" w:ascii="黑体" w:hAnsi="黑体" w:eastAsia="黑体"/>
          <w:color w:val="auto"/>
          <w:sz w:val="15"/>
          <w:szCs w:val="15"/>
        </w:rPr>
      </w:pPr>
    </w:p>
    <w:p>
      <w:pPr>
        <w:keepNext w:val="0"/>
        <w:keepLines w:val="0"/>
        <w:pageBreakBefore w:val="0"/>
        <w:widowControl w:val="0"/>
        <w:kinsoku/>
        <w:wordWrap/>
        <w:overflowPunct w:val="0"/>
        <w:topLinePunct w:val="0"/>
        <w:autoSpaceDE w:val="0"/>
        <w:autoSpaceDN w:val="0"/>
        <w:bidi w:val="0"/>
        <w:adjustRightInd w:val="0"/>
        <w:snapToGrid w:val="0"/>
        <w:spacing w:line="348" w:lineRule="auto"/>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根据《专业技术职务</w:t>
      </w:r>
      <w:r>
        <w:rPr>
          <w:rFonts w:hint="eastAsia" w:ascii="仿宋_GB2312" w:hAnsi="仿宋_GB2312" w:eastAsia="仿宋_GB2312" w:cs="仿宋_GB2312"/>
          <w:color w:val="auto"/>
          <w:sz w:val="32"/>
          <w:szCs w:val="32"/>
          <w:shd w:val="clear" w:color="auto" w:fill="FFFFFF"/>
          <w:lang w:val="en-US" w:eastAsia="zh-CN"/>
        </w:rPr>
        <w:t>自主</w:t>
      </w:r>
      <w:r>
        <w:rPr>
          <w:rFonts w:hint="eastAsia" w:ascii="仿宋_GB2312" w:hAnsi="仿宋_GB2312" w:eastAsia="仿宋_GB2312" w:cs="仿宋_GB2312"/>
          <w:color w:val="auto"/>
          <w:sz w:val="32"/>
          <w:szCs w:val="32"/>
          <w:shd w:val="clear" w:color="auto" w:fill="FFFFFF"/>
        </w:rPr>
        <w:t>评审办法》（</w:t>
      </w:r>
      <w:r>
        <w:rPr>
          <w:rFonts w:hint="eastAsia" w:ascii="仿宋_GB2312" w:hAnsi="仿宋_GB2312" w:eastAsia="仿宋_GB2312" w:cs="仿宋_GB2312"/>
          <w:color w:val="auto"/>
          <w:sz w:val="32"/>
          <w:szCs w:val="32"/>
          <w:shd w:val="clear" w:color="auto" w:fill="FFFFFF"/>
          <w:lang w:val="en-US" w:eastAsia="zh-CN"/>
        </w:rPr>
        <w:t>校人</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2023</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17</w:t>
      </w:r>
      <w:r>
        <w:rPr>
          <w:rFonts w:hint="eastAsia" w:ascii="仿宋_GB2312" w:hAnsi="仿宋_GB2312" w:eastAsia="仿宋_GB2312" w:cs="仿宋_GB2312"/>
          <w:color w:val="auto"/>
          <w:sz w:val="32"/>
          <w:szCs w:val="32"/>
          <w:shd w:val="clear" w:color="auto" w:fill="FFFFFF"/>
        </w:rPr>
        <w:t>号）</w:t>
      </w:r>
      <w:r>
        <w:rPr>
          <w:rFonts w:hint="eastAsia" w:ascii="仿宋_GB2312" w:hAnsi="仿宋_GB2312" w:eastAsia="仿宋_GB2312" w:cs="仿宋_GB2312"/>
          <w:color w:val="auto"/>
          <w:sz w:val="32"/>
          <w:szCs w:val="32"/>
          <w:shd w:val="clear" w:color="auto" w:fill="FFFFFF"/>
          <w:lang w:val="en-US" w:eastAsia="zh-CN"/>
        </w:rPr>
        <w:t>和国家、省、市有关职称评审的政策规定</w:t>
      </w:r>
      <w:r>
        <w:rPr>
          <w:rFonts w:hint="eastAsia" w:ascii="仿宋_GB2312" w:hAnsi="仿宋_GB2312" w:eastAsia="仿宋_GB2312" w:cs="仿宋_GB2312"/>
          <w:color w:val="auto"/>
          <w:sz w:val="32"/>
          <w:szCs w:val="32"/>
          <w:shd w:val="clear" w:color="auto" w:fill="FFFFFF"/>
        </w:rPr>
        <w:t>，结合我校实际情况，制定本</w:t>
      </w:r>
      <w:r>
        <w:rPr>
          <w:rFonts w:hint="eastAsia" w:ascii="仿宋_GB2312" w:hAnsi="仿宋_GB2312" w:eastAsia="仿宋_GB2312" w:cs="仿宋_GB2312"/>
          <w:color w:val="auto"/>
          <w:sz w:val="32"/>
          <w:szCs w:val="32"/>
          <w:shd w:val="clear" w:color="auto" w:fill="FFFFFF"/>
          <w:lang w:val="en-US" w:eastAsia="zh-CN"/>
        </w:rPr>
        <w:t>方案</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kinsoku/>
        <w:wordWrap/>
        <w:overflowPunct w:val="0"/>
        <w:topLinePunct w:val="0"/>
        <w:autoSpaceDE w:val="0"/>
        <w:autoSpaceDN w:val="0"/>
        <w:bidi w:val="0"/>
        <w:adjustRightInd w:val="0"/>
        <w:snapToGrid w:val="0"/>
        <w:spacing w:line="348" w:lineRule="auto"/>
        <w:ind w:firstLine="640" w:firstLineChars="200"/>
        <w:jc w:val="both"/>
        <w:textAlignment w:val="auto"/>
        <w:rPr>
          <w:rFonts w:hint="eastAsia" w:ascii="黑体" w:hAnsi="黑体" w:eastAsia="黑体" w:cs="宋体"/>
          <w:color w:val="auto"/>
          <w:sz w:val="32"/>
          <w:szCs w:val="32"/>
          <w:shd w:val="clear" w:color="auto" w:fill="FFFFFF"/>
          <w:lang w:val="en-US" w:eastAsia="zh-CN"/>
        </w:rPr>
      </w:pPr>
      <w:r>
        <w:rPr>
          <w:rFonts w:hint="eastAsia" w:ascii="黑体" w:hAnsi="黑体" w:eastAsia="黑体" w:cs="宋体"/>
          <w:color w:val="auto"/>
          <w:sz w:val="32"/>
          <w:szCs w:val="32"/>
          <w:shd w:val="clear" w:color="auto" w:fill="FFFFFF"/>
          <w:lang w:val="en-US" w:eastAsia="zh-CN"/>
        </w:rPr>
        <w:t>一、指导思想</w:t>
      </w:r>
    </w:p>
    <w:p>
      <w:pPr>
        <w:keepNext w:val="0"/>
        <w:keepLines w:val="0"/>
        <w:pageBreakBefore w:val="0"/>
        <w:widowControl w:val="0"/>
        <w:kinsoku/>
        <w:wordWrap/>
        <w:overflowPunct w:val="0"/>
        <w:topLinePunct w:val="0"/>
        <w:autoSpaceDE w:val="0"/>
        <w:autoSpaceDN w:val="0"/>
        <w:bidi w:val="0"/>
        <w:adjustRightInd w:val="0"/>
        <w:snapToGrid w:val="0"/>
        <w:spacing w:line="348" w:lineRule="auto"/>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高举</w:t>
      </w:r>
      <w:r>
        <w:rPr>
          <w:rFonts w:hint="eastAsia" w:ascii="仿宋_GB2312" w:hAnsi="仿宋_GB2312" w:eastAsia="仿宋_GB2312" w:cs="仿宋_GB2312"/>
          <w:color w:val="auto"/>
          <w:sz w:val="32"/>
          <w:szCs w:val="32"/>
          <w:lang w:val="en-US" w:eastAsia="zh-CN"/>
        </w:rPr>
        <w:t>习近平新时代</w:t>
      </w:r>
      <w:r>
        <w:rPr>
          <w:rFonts w:hint="eastAsia" w:ascii="仿宋_GB2312" w:hAnsi="仿宋_GB2312" w:eastAsia="仿宋_GB2312" w:cs="仿宋_GB2312"/>
          <w:color w:val="auto"/>
          <w:sz w:val="32"/>
          <w:szCs w:val="32"/>
        </w:rPr>
        <w:t>中国特色社会主义</w:t>
      </w:r>
      <w:r>
        <w:rPr>
          <w:rFonts w:hint="eastAsia" w:ascii="仿宋_GB2312" w:hAnsi="仿宋_GB2312" w:eastAsia="仿宋_GB2312" w:cs="仿宋_GB2312"/>
          <w:color w:val="auto"/>
          <w:sz w:val="32"/>
          <w:szCs w:val="32"/>
          <w:lang w:val="en-US" w:eastAsia="zh-CN"/>
        </w:rPr>
        <w:t>思想</w:t>
      </w:r>
      <w:bookmarkStart w:id="0" w:name="_GoBack"/>
      <w:bookmarkEnd w:id="0"/>
      <w:r>
        <w:rPr>
          <w:rFonts w:hint="eastAsia" w:ascii="仿宋_GB2312" w:hAnsi="仿宋_GB2312" w:eastAsia="仿宋_GB2312" w:cs="仿宋_GB2312"/>
          <w:color w:val="auto"/>
          <w:sz w:val="32"/>
          <w:szCs w:val="32"/>
        </w:rPr>
        <w:t>伟大旗帜，全面贯彻落实党的</w:t>
      </w:r>
      <w:r>
        <w:rPr>
          <w:rFonts w:hint="eastAsia" w:ascii="仿宋_GB2312" w:hAnsi="仿宋_GB2312" w:eastAsia="仿宋_GB2312" w:cs="仿宋_GB2312"/>
          <w:color w:val="auto"/>
          <w:sz w:val="32"/>
          <w:szCs w:val="32"/>
          <w:lang w:val="en-US" w:eastAsia="zh-CN"/>
        </w:rPr>
        <w:t>二十</w:t>
      </w:r>
      <w:r>
        <w:rPr>
          <w:rFonts w:hint="eastAsia" w:ascii="仿宋_GB2312" w:hAnsi="仿宋_GB2312" w:eastAsia="仿宋_GB2312" w:cs="仿宋_GB2312"/>
          <w:color w:val="auto"/>
          <w:sz w:val="32"/>
          <w:szCs w:val="32"/>
        </w:rPr>
        <w:t>大精神和习近平总书记关于人才工作的重要论述，坚持党管人才原则，遵循人才成长规律，</w:t>
      </w:r>
      <w:r>
        <w:rPr>
          <w:rFonts w:hint="eastAsia" w:ascii="仿宋_GB2312" w:hAnsi="仿宋_GB2312" w:eastAsia="仿宋_GB2312" w:cs="仿宋_GB2312"/>
          <w:color w:val="auto"/>
          <w:kern w:val="2"/>
          <w:sz w:val="32"/>
          <w:szCs w:val="32"/>
          <w:shd w:val="clear" w:color="auto" w:fill="FFFFFF"/>
          <w:lang w:val="en-US" w:eastAsia="zh-CN" w:bidi="ar-SA"/>
        </w:rPr>
        <w:t>认真贯彻落实党中央、国务院以及省委、省政府关于深化人才发展体制机制改革和职称制度改革的意见，遵循高等教育规律和专业技术人员成长规律，改革和完善学校教师职称评审机制，克服“五唯”倾向，</w:t>
      </w:r>
      <w:r>
        <w:rPr>
          <w:rFonts w:hint="eastAsia" w:ascii="仿宋_GB2312" w:hAnsi="仿宋_GB2312" w:eastAsia="仿宋_GB2312" w:cs="仿宋_GB2312"/>
          <w:color w:val="auto"/>
          <w:sz w:val="32"/>
          <w:szCs w:val="32"/>
          <w:shd w:val="clear" w:color="auto" w:fill="FFFFFF"/>
        </w:rPr>
        <w:t>坚持目标导向</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问题导向</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统一标准、规范程序，完善职称评审相关制度，确保职称评审工作的公平、公开、公正</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满足我校选才引才用才需求，努力建设一支德才兼备的高水平师资队伍</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348" w:lineRule="auto"/>
        <w:ind w:leftChars="0" w:firstLine="640" w:firstLineChars="200"/>
        <w:jc w:val="both"/>
        <w:textAlignment w:val="auto"/>
        <w:rPr>
          <w:rFonts w:hint="eastAsia" w:ascii="黑体" w:hAnsi="黑体" w:eastAsia="黑体" w:cs="宋体"/>
          <w:color w:val="auto"/>
          <w:sz w:val="32"/>
          <w:szCs w:val="32"/>
          <w:shd w:val="clear" w:color="auto" w:fill="FFFFFF"/>
          <w:lang w:val="en-US" w:eastAsia="zh-CN"/>
        </w:rPr>
      </w:pPr>
      <w:r>
        <w:rPr>
          <w:rFonts w:hint="eastAsia" w:ascii="黑体" w:hAnsi="黑体" w:eastAsia="黑体" w:cs="宋体"/>
          <w:color w:val="auto"/>
          <w:sz w:val="32"/>
          <w:szCs w:val="32"/>
          <w:shd w:val="clear" w:color="auto" w:fill="FFFFFF"/>
          <w:lang w:val="en-US" w:eastAsia="zh-CN"/>
        </w:rPr>
        <w:t>二、工作原则</w:t>
      </w:r>
    </w:p>
    <w:p>
      <w:pPr>
        <w:adjustRightInd w:val="0"/>
        <w:snapToGrid w:val="0"/>
        <w:spacing w:line="348" w:lineRule="auto"/>
        <w:ind w:firstLine="643"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b/>
          <w:bCs w:val="0"/>
          <w:color w:val="auto"/>
          <w:kern w:val="0"/>
          <w:sz w:val="32"/>
          <w:szCs w:val="32"/>
          <w:shd w:val="clear" w:color="auto" w:fill="FFFFFF"/>
          <w:lang w:bidi="ar"/>
        </w:rPr>
        <w:t>（一）德才兼备，以德为先</w:t>
      </w:r>
      <w:r>
        <w:rPr>
          <w:rFonts w:hint="eastAsia" w:ascii="楷体_GB2312" w:hAnsi="仿宋_GB2312" w:eastAsia="楷体_GB2312" w:cs="仿宋_GB2312"/>
          <w:b/>
          <w:bCs w:val="0"/>
          <w:color w:val="auto"/>
          <w:kern w:val="0"/>
          <w:sz w:val="32"/>
          <w:szCs w:val="32"/>
          <w:shd w:val="clear" w:color="auto" w:fill="FFFFFF"/>
          <w:lang w:eastAsia="zh-CN" w:bidi="ar"/>
        </w:rPr>
        <w:t>。</w:t>
      </w:r>
      <w:r>
        <w:rPr>
          <w:rFonts w:hint="eastAsia" w:ascii="仿宋_GB2312" w:hAnsi="仿宋_GB2312" w:eastAsia="仿宋_GB2312" w:cs="仿宋_GB2312"/>
          <w:color w:val="auto"/>
          <w:sz w:val="32"/>
          <w:szCs w:val="32"/>
        </w:rPr>
        <w:t>将师德表现作为职称评审推荐的首要条件，对师德失范、学术不端、弄虚作假实行“一票否决”。</w:t>
      </w:r>
    </w:p>
    <w:p>
      <w:pPr>
        <w:numPr>
          <w:ilvl w:val="0"/>
          <w:numId w:val="1"/>
        </w:numPr>
        <w:adjustRightInd w:val="0"/>
        <w:snapToGrid w:val="0"/>
        <w:spacing w:line="348" w:lineRule="auto"/>
        <w:ind w:firstLine="643"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b/>
          <w:bCs w:val="0"/>
          <w:color w:val="auto"/>
          <w:kern w:val="0"/>
          <w:sz w:val="32"/>
          <w:szCs w:val="32"/>
          <w:shd w:val="clear" w:color="auto" w:fill="FFFFFF"/>
          <w:lang w:bidi="ar"/>
        </w:rPr>
        <w:t>分类评价，科学激励</w:t>
      </w:r>
      <w:r>
        <w:rPr>
          <w:rFonts w:hint="eastAsia" w:ascii="楷体_GB2312" w:hAnsi="仿宋_GB2312" w:eastAsia="楷体_GB2312" w:cs="仿宋_GB2312"/>
          <w:b/>
          <w:bCs w:val="0"/>
          <w:color w:val="auto"/>
          <w:kern w:val="0"/>
          <w:sz w:val="32"/>
          <w:szCs w:val="32"/>
          <w:shd w:val="clear" w:color="auto" w:fill="FFFFFF"/>
          <w:lang w:eastAsia="zh-CN" w:bidi="ar"/>
        </w:rPr>
        <w:t>。</w:t>
      </w:r>
      <w:r>
        <w:rPr>
          <w:rFonts w:hint="eastAsia" w:ascii="仿宋_GB2312" w:hAnsi="仿宋_GB2312" w:eastAsia="仿宋_GB2312" w:cs="仿宋_GB2312"/>
          <w:b w:val="0"/>
          <w:bCs/>
          <w:color w:val="auto"/>
          <w:kern w:val="2"/>
          <w:sz w:val="32"/>
          <w:szCs w:val="32"/>
          <w:shd w:val="clear" w:color="auto" w:fill="FFFFFF"/>
          <w:lang w:val="en-US" w:eastAsia="zh-CN" w:bidi="ar-SA"/>
        </w:rPr>
        <w:t>高校教师系列高级职称评审分为教学为主型、教学科研型两个类型，教师系列中级职称评审不分类型，明确不同类型职称评审条件</w:t>
      </w:r>
      <w:r>
        <w:rPr>
          <w:rFonts w:hint="eastAsia" w:ascii="仿宋_GB2312" w:hAnsi="仿宋_GB2312" w:eastAsia="仿宋_GB2312" w:cs="仿宋_GB2312"/>
          <w:color w:val="auto"/>
          <w:sz w:val="32"/>
          <w:szCs w:val="32"/>
        </w:rPr>
        <w:t>。根据不同类别岗位的特点，科学激励，引导教师在不同岗位做出特色。</w:t>
      </w:r>
    </w:p>
    <w:p>
      <w:pPr>
        <w:numPr>
          <w:ilvl w:val="0"/>
          <w:numId w:val="1"/>
        </w:numPr>
        <w:adjustRightInd w:val="0"/>
        <w:snapToGrid w:val="0"/>
        <w:spacing w:line="348" w:lineRule="auto"/>
        <w:ind w:firstLine="643"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b/>
          <w:bCs w:val="0"/>
          <w:color w:val="auto"/>
          <w:kern w:val="0"/>
          <w:sz w:val="32"/>
          <w:szCs w:val="32"/>
          <w:shd w:val="clear" w:color="auto" w:fill="FFFFFF"/>
          <w:lang w:bidi="ar"/>
        </w:rPr>
        <w:t>注重质量，追求卓越</w:t>
      </w:r>
      <w:r>
        <w:rPr>
          <w:rFonts w:hint="eastAsia" w:ascii="楷体_GB2312" w:hAnsi="仿宋_GB2312" w:eastAsia="楷体_GB2312" w:cs="仿宋_GB2312"/>
          <w:b/>
          <w:bCs w:val="0"/>
          <w:color w:val="auto"/>
          <w:kern w:val="0"/>
          <w:sz w:val="32"/>
          <w:szCs w:val="32"/>
          <w:shd w:val="clear" w:color="auto" w:fill="FFFFFF"/>
          <w:lang w:eastAsia="zh-CN" w:bidi="ar"/>
        </w:rPr>
        <w:t>。</w:t>
      </w:r>
      <w:r>
        <w:rPr>
          <w:rFonts w:hint="eastAsia" w:ascii="仿宋_GB2312" w:hAnsi="仿宋_GB2312" w:eastAsia="仿宋_GB2312" w:cs="仿宋_GB2312"/>
          <w:color w:val="auto"/>
          <w:sz w:val="32"/>
          <w:szCs w:val="32"/>
        </w:rPr>
        <w:t>推行“代表性成果”的评价机制，强调业绩质量；</w:t>
      </w:r>
      <w:r>
        <w:rPr>
          <w:rFonts w:hint="eastAsia" w:ascii="仿宋_GB2312" w:hAnsi="仿宋_GB2312" w:eastAsia="仿宋_GB2312" w:cs="仿宋_GB2312"/>
          <w:bCs/>
          <w:color w:val="auto"/>
          <w:sz w:val="32"/>
          <w:szCs w:val="32"/>
        </w:rPr>
        <w:t>对于教学、科研业绩成果特别突出的人员在同等条件下优先推荐。</w:t>
      </w:r>
    </w:p>
    <w:p>
      <w:pPr>
        <w:numPr>
          <w:ilvl w:val="0"/>
          <w:numId w:val="1"/>
        </w:numPr>
        <w:adjustRightInd w:val="0"/>
        <w:snapToGrid w:val="0"/>
        <w:spacing w:line="348" w:lineRule="auto"/>
        <w:ind w:firstLine="643" w:firstLineChars="200"/>
        <w:rPr>
          <w:rFonts w:hint="eastAsia" w:ascii="仿宋_GB2312" w:hAnsi="仿宋_GB2312" w:eastAsia="仿宋_GB2312" w:cs="仿宋_GB2312"/>
          <w:color w:val="auto"/>
          <w:sz w:val="32"/>
          <w:szCs w:val="32"/>
          <w:lang w:val="en-US" w:eastAsia="zh-CN"/>
        </w:rPr>
      </w:pPr>
      <w:r>
        <w:rPr>
          <w:rFonts w:hint="eastAsia" w:ascii="楷体_GB2312" w:hAnsi="仿宋_GB2312" w:eastAsia="楷体_GB2312" w:cs="仿宋_GB2312"/>
          <w:b/>
          <w:bCs w:val="0"/>
          <w:color w:val="auto"/>
          <w:kern w:val="0"/>
          <w:sz w:val="32"/>
          <w:szCs w:val="32"/>
          <w:shd w:val="clear" w:color="auto" w:fill="FFFFFF"/>
          <w:lang w:bidi="ar"/>
        </w:rPr>
        <w:t>坚持标准，强化监督</w:t>
      </w:r>
      <w:r>
        <w:rPr>
          <w:rFonts w:hint="eastAsia" w:ascii="楷体_GB2312" w:hAnsi="仿宋_GB2312" w:eastAsia="楷体_GB2312" w:cs="仿宋_GB2312"/>
          <w:b/>
          <w:bCs w:val="0"/>
          <w:color w:val="auto"/>
          <w:kern w:val="0"/>
          <w:sz w:val="32"/>
          <w:szCs w:val="32"/>
          <w:shd w:val="clear" w:color="auto" w:fill="FFFFFF"/>
          <w:lang w:eastAsia="zh-CN" w:bidi="ar"/>
        </w:rPr>
        <w:t>。</w:t>
      </w:r>
      <w:r>
        <w:rPr>
          <w:rFonts w:hint="eastAsia" w:ascii="仿宋_GB2312" w:hAnsi="仿宋_GB2312" w:eastAsia="仿宋_GB2312" w:cs="仿宋_GB2312"/>
          <w:color w:val="auto"/>
          <w:sz w:val="32"/>
          <w:szCs w:val="32"/>
          <w:lang w:val="en-US" w:eastAsia="zh-CN"/>
        </w:rPr>
        <w:t>坚持独立评审、权责统一的原则。评委会在主任委员的领导下，在人社部门的指导监督下，依照程序和要求开展工作，评委、专业（学科）组要切实履行评审职责，对其评审结果负责。</w:t>
      </w:r>
    </w:p>
    <w:p>
      <w:pPr>
        <w:numPr>
          <w:ilvl w:val="0"/>
          <w:numId w:val="1"/>
        </w:numPr>
        <w:adjustRightInd w:val="0"/>
        <w:snapToGrid w:val="0"/>
        <w:spacing w:line="348" w:lineRule="auto"/>
        <w:ind w:firstLine="643"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b/>
          <w:bCs w:val="0"/>
          <w:color w:val="auto"/>
          <w:kern w:val="0"/>
          <w:sz w:val="32"/>
          <w:szCs w:val="32"/>
          <w:shd w:val="clear" w:color="auto" w:fill="FFFFFF"/>
          <w:lang w:val="en-US" w:eastAsia="zh-CN" w:bidi="ar"/>
        </w:rPr>
        <w:t>规范程序，公平公正。</w:t>
      </w:r>
      <w:r>
        <w:rPr>
          <w:rFonts w:hint="eastAsia" w:ascii="仿宋_GB2312" w:hAnsi="仿宋_GB2312" w:eastAsia="仿宋_GB2312" w:cs="仿宋_GB2312"/>
          <w:color w:val="auto"/>
          <w:sz w:val="32"/>
          <w:szCs w:val="32"/>
        </w:rPr>
        <w:t>坚持职称政策、评审标准、申报职数、评审程序、评审结果“五公开”；校纪委对学校职称评审工作进行全程监督，确保评审公平公正。</w:t>
      </w:r>
    </w:p>
    <w:p>
      <w:pPr>
        <w:keepNext w:val="0"/>
        <w:keepLines w:val="0"/>
        <w:pageBreakBefore w:val="0"/>
        <w:widowControl w:val="0"/>
        <w:numPr>
          <w:ilvl w:val="0"/>
          <w:numId w:val="2"/>
        </w:numPr>
        <w:kinsoku/>
        <w:wordWrap/>
        <w:overflowPunct w:val="0"/>
        <w:topLinePunct w:val="0"/>
        <w:autoSpaceDE w:val="0"/>
        <w:autoSpaceDN w:val="0"/>
        <w:bidi w:val="0"/>
        <w:adjustRightInd w:val="0"/>
        <w:snapToGrid w:val="0"/>
        <w:spacing w:line="348" w:lineRule="auto"/>
        <w:ind w:leftChars="0" w:firstLine="640" w:firstLineChars="200"/>
        <w:jc w:val="both"/>
        <w:textAlignment w:val="auto"/>
        <w:rPr>
          <w:rFonts w:hint="eastAsia" w:ascii="黑体" w:hAnsi="黑体" w:eastAsia="黑体" w:cs="宋体"/>
          <w:color w:val="auto"/>
          <w:sz w:val="32"/>
          <w:szCs w:val="32"/>
          <w:shd w:val="clear" w:color="auto" w:fill="FFFFFF"/>
          <w:lang w:val="en-US" w:eastAsia="zh-CN"/>
        </w:rPr>
      </w:pPr>
      <w:r>
        <w:rPr>
          <w:rFonts w:hint="eastAsia" w:ascii="黑体" w:hAnsi="黑体" w:eastAsia="黑体" w:cs="宋体"/>
          <w:color w:val="auto"/>
          <w:sz w:val="32"/>
          <w:szCs w:val="32"/>
          <w:shd w:val="clear" w:color="auto" w:fill="FFFFFF"/>
          <w:lang w:val="en-US" w:eastAsia="zh-CN"/>
        </w:rPr>
        <w:t>机构职责</w:t>
      </w:r>
    </w:p>
    <w:p>
      <w:pPr>
        <w:keepNext w:val="0"/>
        <w:keepLines w:val="0"/>
        <w:pageBreakBefore w:val="0"/>
        <w:widowControl w:val="0"/>
        <w:numPr>
          <w:ilvl w:val="0"/>
          <w:numId w:val="3"/>
        </w:numPr>
        <w:kinsoku/>
        <w:wordWrap/>
        <w:overflowPunct w:val="0"/>
        <w:topLinePunct w:val="0"/>
        <w:autoSpaceDE w:val="0"/>
        <w:autoSpaceDN w:val="0"/>
        <w:bidi w:val="0"/>
        <w:adjustRightInd w:val="0"/>
        <w:snapToGrid w:val="0"/>
        <w:spacing w:line="348" w:lineRule="auto"/>
        <w:ind w:firstLine="643"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组织领导。</w:t>
      </w:r>
      <w:r>
        <w:rPr>
          <w:rFonts w:hint="eastAsia" w:ascii="仿宋_GB2312" w:hAnsi="仿宋_GB2312" w:eastAsia="仿宋_GB2312" w:cs="仿宋_GB2312"/>
          <w:color w:val="auto"/>
          <w:sz w:val="32"/>
          <w:szCs w:val="32"/>
          <w:highlight w:val="none"/>
          <w:lang w:val="en-US" w:eastAsia="zh-CN"/>
        </w:rPr>
        <w:t>成立以校长、党委书记为组长，主管校领导为副组长，人事处、教务处、科技处、学生处负责人为成员的专业技术职务评审领导小组。评审领导小组下设办公室，办公室设在人事处，主任由人事处处长兼任，成员由人事处、教务处、科技处及相关部门人员组成。领导小组办公室在学校职称工作领导小组的领导下开展具体工作，组织制定或修订学校职称有关制度；组织学校职称评审（推荐）和聘任工作；组织审核申报人的参评资格及参评材料；受理、协调、解答职称评审（推荐）工作中的咨询；负责评审方案制定、评委会组建、讲课答辩、组织评审和评审结果备案等。学校职称评审委员会、推荐委员会负责职称评审（推荐）工作。</w:t>
      </w:r>
    </w:p>
    <w:p>
      <w:pPr>
        <w:keepNext w:val="0"/>
        <w:keepLines w:val="0"/>
        <w:pageBreakBefore w:val="0"/>
        <w:widowControl w:val="0"/>
        <w:kinsoku/>
        <w:wordWrap/>
        <w:overflowPunct w:val="0"/>
        <w:topLinePunct w:val="0"/>
        <w:autoSpaceDE w:val="0"/>
        <w:autoSpaceDN w:val="0"/>
        <w:bidi w:val="0"/>
        <w:adjustRightInd w:val="0"/>
        <w:snapToGrid w:val="0"/>
        <w:spacing w:line="348" w:lineRule="auto"/>
        <w:ind w:firstLine="643"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b/>
          <w:bCs/>
          <w:color w:val="auto"/>
          <w:sz w:val="32"/>
          <w:szCs w:val="32"/>
          <w:highlight w:val="none"/>
          <w:lang w:val="en-US" w:eastAsia="zh-CN"/>
        </w:rPr>
        <w:t>（二）成立基层职称推荐工作小组。</w:t>
      </w:r>
      <w:r>
        <w:rPr>
          <w:rFonts w:hint="eastAsia" w:ascii="仿宋_GB2312" w:hAnsi="仿宋_GB2312" w:eastAsia="仿宋_GB2312" w:cs="仿宋_GB2312"/>
          <w:color w:val="auto"/>
          <w:sz w:val="32"/>
          <w:szCs w:val="32"/>
          <w:shd w:val="clear" w:color="auto" w:fill="FFFFFF"/>
          <w:lang w:val="en-US" w:eastAsia="zh-CN"/>
        </w:rPr>
        <w:t>各基层职称推荐工作小组组长原则上由二级教学院部党政负责人担任，负责组建基层推荐委员会，基层推荐委员会负责基层职称推荐工作。</w:t>
      </w:r>
    </w:p>
    <w:p>
      <w:pPr>
        <w:keepNext w:val="0"/>
        <w:keepLines w:val="0"/>
        <w:pageBreakBefore w:val="0"/>
        <w:widowControl w:val="0"/>
        <w:kinsoku/>
        <w:wordWrap/>
        <w:overflowPunct w:val="0"/>
        <w:topLinePunct w:val="0"/>
        <w:autoSpaceDE w:val="0"/>
        <w:autoSpaceDN w:val="0"/>
        <w:bidi w:val="0"/>
        <w:adjustRightInd w:val="0"/>
        <w:snapToGrid w:val="0"/>
        <w:spacing w:line="348" w:lineRule="auto"/>
        <w:ind w:firstLine="643"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b/>
          <w:bCs/>
          <w:color w:val="auto"/>
          <w:sz w:val="32"/>
          <w:szCs w:val="32"/>
          <w:highlight w:val="none"/>
          <w:lang w:val="en-US" w:eastAsia="zh-CN"/>
        </w:rPr>
        <w:t>（三）成立学校职称评审监督委员会。</w:t>
      </w:r>
      <w:r>
        <w:rPr>
          <w:rFonts w:hint="eastAsia" w:ascii="仿宋_GB2312" w:hAnsi="仿宋_GB2312" w:eastAsia="仿宋_GB2312" w:cs="仿宋_GB2312"/>
          <w:color w:val="auto"/>
          <w:sz w:val="32"/>
          <w:szCs w:val="32"/>
          <w:shd w:val="clear" w:color="auto" w:fill="FFFFFF"/>
          <w:lang w:val="en-US" w:eastAsia="zh-CN"/>
        </w:rPr>
        <w:t>履行监督职责，监督职称评审全过程，负责受理职称评审过程中的投诉、举报等。基层推荐单位纪律监督工作小组，负责监督基层职称推荐全过程。</w:t>
      </w:r>
    </w:p>
    <w:p>
      <w:pPr>
        <w:keepNext w:val="0"/>
        <w:keepLines w:val="0"/>
        <w:pageBreakBefore w:val="0"/>
        <w:widowControl w:val="0"/>
        <w:numPr>
          <w:ilvl w:val="0"/>
          <w:numId w:val="0"/>
        </w:numPr>
        <w:kinsoku/>
        <w:wordWrap/>
        <w:overflowPunct/>
        <w:topLinePunct w:val="0"/>
        <w:bidi w:val="0"/>
        <w:adjustRightInd w:val="0"/>
        <w:snapToGrid w:val="0"/>
        <w:spacing w:line="348" w:lineRule="auto"/>
        <w:ind w:lef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四、评审（推荐）程序</w:t>
      </w:r>
    </w:p>
    <w:p>
      <w:pPr>
        <w:keepNext w:val="0"/>
        <w:keepLines w:val="0"/>
        <w:pageBreakBefore w:val="0"/>
        <w:widowControl w:val="0"/>
        <w:kinsoku/>
        <w:wordWrap/>
        <w:overflowPunct w:val="0"/>
        <w:topLinePunct w:val="0"/>
        <w:autoSpaceDE w:val="0"/>
        <w:autoSpaceDN w:val="0"/>
        <w:bidi w:val="0"/>
        <w:adjustRightInd w:val="0"/>
        <w:snapToGrid w:val="0"/>
        <w:spacing w:line="348" w:lineRule="auto"/>
        <w:ind w:firstLine="643" w:firstLineChars="200"/>
        <w:jc w:val="both"/>
        <w:textAlignment w:val="auto"/>
        <w:rPr>
          <w:rFonts w:hint="eastAsia" w:ascii="仿宋_GB2312" w:hAnsi="仿宋_GB2312" w:eastAsia="仿宋_GB2312" w:cs="仿宋_GB2312"/>
          <w:color w:val="auto"/>
          <w:kern w:val="0"/>
          <w:sz w:val="32"/>
          <w:szCs w:val="32"/>
          <w:highlight w:val="none"/>
          <w:shd w:val="clear" w:color="auto" w:fill="FFFFFF"/>
          <w:lang w:val="en-US" w:eastAsia="zh-CN" w:bidi="zh-CN"/>
        </w:rPr>
      </w:pPr>
      <w:r>
        <w:rPr>
          <w:rFonts w:hint="eastAsia" w:ascii="楷体_GB2312" w:hAnsi="楷体_GB2312" w:eastAsia="楷体_GB2312" w:cs="楷体_GB2312"/>
          <w:b/>
          <w:bCs/>
          <w:color w:val="auto"/>
          <w:sz w:val="32"/>
          <w:szCs w:val="32"/>
          <w:highlight w:val="none"/>
          <w:lang w:val="en-US" w:eastAsia="zh-CN"/>
        </w:rPr>
        <w:t>（一）个人申报。</w:t>
      </w:r>
      <w:r>
        <w:rPr>
          <w:rFonts w:hint="eastAsia" w:ascii="仿宋_GB2312" w:hAnsi="仿宋_GB2312" w:eastAsia="仿宋_GB2312" w:cs="仿宋_GB2312"/>
          <w:color w:val="auto"/>
          <w:kern w:val="0"/>
          <w:sz w:val="32"/>
          <w:szCs w:val="32"/>
          <w:highlight w:val="none"/>
          <w:shd w:val="clear" w:color="auto" w:fill="FFFFFF"/>
          <w:lang w:val="en-US" w:eastAsia="zh-CN" w:bidi="zh-CN"/>
        </w:rPr>
        <w:t>申报职称评审的人员（以下简称申报人）应当遵守宪法和法律，具备良好的职业道德，符合相应职称系列或者专业、相应级别职称评审规定的申报条件，遵守职称推荐、面试、讲课、答辩等有关规定。申报人一般应当按照职称层级逐级申报职称评审，每年度只能申报1个职称。</w:t>
      </w:r>
    </w:p>
    <w:p>
      <w:pPr>
        <w:keepNext w:val="0"/>
        <w:keepLines w:val="0"/>
        <w:pageBreakBefore w:val="0"/>
        <w:widowControl w:val="0"/>
        <w:kinsoku/>
        <w:wordWrap/>
        <w:overflowPunct w:val="0"/>
        <w:topLinePunct w:val="0"/>
        <w:autoSpaceDE w:val="0"/>
        <w:autoSpaceDN w:val="0"/>
        <w:bidi w:val="0"/>
        <w:adjustRightInd w:val="0"/>
        <w:snapToGrid w:val="0"/>
        <w:spacing w:line="348" w:lineRule="auto"/>
        <w:ind w:firstLine="643"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b/>
          <w:bCs/>
          <w:color w:val="auto"/>
          <w:sz w:val="32"/>
          <w:szCs w:val="32"/>
          <w:highlight w:val="none"/>
          <w:lang w:val="en-US" w:eastAsia="zh-CN"/>
        </w:rPr>
        <w:t>（二）基层单位推荐。</w:t>
      </w:r>
      <w:r>
        <w:rPr>
          <w:rFonts w:hint="eastAsia" w:ascii="仿宋_GB2312" w:hAnsi="仿宋_GB2312" w:eastAsia="仿宋_GB2312" w:cs="仿宋_GB2312"/>
          <w:color w:val="auto"/>
          <w:sz w:val="32"/>
          <w:szCs w:val="32"/>
          <w:lang w:val="en-US" w:eastAsia="zh-CN"/>
        </w:rPr>
        <w:t>基层职称推荐工作小组按照上级要求的“公开、展示、考核、评议、监督”相结合的办法进行推荐，对照任职条件对申报人员的材料进行全面审核，综合评议其任现职以来德、能、勤、绩、廉等方面的表现，向学校递交推荐人选材料。</w:t>
      </w:r>
      <w:r>
        <w:rPr>
          <w:rFonts w:hint="eastAsia" w:ascii="仿宋_GB2312" w:hAnsi="仿宋_GB2312" w:eastAsia="仿宋_GB2312" w:cs="仿宋_GB2312"/>
          <w:color w:val="auto"/>
          <w:sz w:val="32"/>
          <w:szCs w:val="32"/>
          <w:shd w:val="clear" w:color="auto" w:fill="FFFFFF"/>
          <w:lang w:val="en-US" w:eastAsia="zh-CN"/>
        </w:rPr>
        <w:t>各基层推荐单位在推荐过程中要加强对申报人的师德师风考核，发现有违反师德师风行为的，一票否决，同时更加注重业绩成果和实际贡献，克服“五唯”倾向。</w:t>
      </w:r>
    </w:p>
    <w:p>
      <w:pPr>
        <w:pStyle w:val="2"/>
        <w:keepNext w:val="0"/>
        <w:keepLines w:val="0"/>
        <w:pageBreakBefore w:val="0"/>
        <w:widowControl w:val="0"/>
        <w:kinsoku/>
        <w:wordWrap/>
        <w:overflowPunct/>
        <w:topLinePunct w:val="0"/>
        <w:autoSpaceDE/>
        <w:autoSpaceDN/>
        <w:bidi w:val="0"/>
        <w:adjustRightInd w:val="0"/>
        <w:snapToGrid w:val="0"/>
        <w:spacing w:line="348" w:lineRule="auto"/>
        <w:ind w:left="0" w:leftChars="0" w:firstLine="643"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b/>
          <w:bCs/>
          <w:color w:val="auto"/>
          <w:kern w:val="2"/>
          <w:sz w:val="32"/>
          <w:szCs w:val="32"/>
          <w:highlight w:val="none"/>
          <w:lang w:val="en-US" w:eastAsia="zh-CN" w:bidi="ar-SA"/>
        </w:rPr>
        <w:t>（三）材料展示。</w:t>
      </w:r>
      <w:r>
        <w:rPr>
          <w:rFonts w:hint="eastAsia" w:ascii="仿宋_GB2312" w:hAnsi="仿宋_GB2312" w:eastAsia="仿宋_GB2312" w:cs="仿宋_GB2312"/>
          <w:color w:val="auto"/>
          <w:sz w:val="32"/>
          <w:szCs w:val="32"/>
          <w:shd w:val="clear" w:color="auto" w:fill="FFFFFF"/>
          <w:lang w:val="en-US" w:eastAsia="zh-CN"/>
        </w:rPr>
        <w:t>各基层推荐单位对推荐人员在本单位公示，公示期不少于3个工作日。</w:t>
      </w:r>
    </w:p>
    <w:p>
      <w:pPr>
        <w:adjustRightInd w:val="0"/>
        <w:snapToGrid w:val="0"/>
        <w:spacing w:line="348" w:lineRule="auto"/>
        <w:ind w:firstLine="643" w:firstLineChars="200"/>
        <w:rPr>
          <w:rFonts w:hint="eastAsia"/>
          <w:color w:val="auto"/>
          <w:lang w:val="en-US" w:eastAsia="zh-CN"/>
        </w:rPr>
      </w:pPr>
      <w:r>
        <w:rPr>
          <w:rFonts w:hint="eastAsia" w:ascii="楷体_GB2312" w:hAnsi="楷体_GB2312" w:eastAsia="楷体_GB2312" w:cs="楷体_GB2312"/>
          <w:b/>
          <w:bCs/>
          <w:color w:val="auto"/>
          <w:kern w:val="2"/>
          <w:sz w:val="32"/>
          <w:szCs w:val="32"/>
          <w:highlight w:val="none"/>
          <w:lang w:val="en-US" w:eastAsia="zh-CN" w:bidi="ar-SA"/>
        </w:rPr>
        <w:t>（四）资格及材料复审。</w:t>
      </w:r>
      <w:r>
        <w:rPr>
          <w:rFonts w:hint="eastAsia" w:ascii="仿宋_GB2312" w:hAnsi="仿宋_GB2312" w:eastAsia="仿宋_GB2312" w:cs="仿宋_GB2312"/>
          <w:color w:val="auto"/>
          <w:sz w:val="32"/>
          <w:szCs w:val="32"/>
          <w:shd w:val="clear" w:color="auto" w:fill="FFFFFF"/>
          <w:lang w:val="en-US" w:eastAsia="zh-CN"/>
        </w:rPr>
        <w:t>人事处、教务处、科技处、学生处等职能部门对申报人员所提供职称材料的真实性、准确性和有效性进行审核并负责，实行“谁审核、谁签名，谁签名、谁负责”的责任制。凡未按要求签名和加盖公章的评审材料，一律视为无效材料。</w:t>
      </w:r>
    </w:p>
    <w:p>
      <w:pPr>
        <w:pStyle w:val="2"/>
        <w:keepNext w:val="0"/>
        <w:keepLines w:val="0"/>
        <w:pageBreakBefore w:val="0"/>
        <w:widowControl w:val="0"/>
        <w:kinsoku/>
        <w:wordWrap/>
        <w:overflowPunct/>
        <w:topLinePunct w:val="0"/>
        <w:autoSpaceDE/>
        <w:autoSpaceDN/>
        <w:bidi w:val="0"/>
        <w:adjustRightInd w:val="0"/>
        <w:snapToGrid w:val="0"/>
        <w:spacing w:line="348" w:lineRule="auto"/>
        <w:ind w:left="0" w:leftChars="0" w:firstLine="643"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b/>
          <w:bCs/>
          <w:color w:val="auto"/>
          <w:kern w:val="2"/>
          <w:sz w:val="32"/>
          <w:szCs w:val="32"/>
          <w:highlight w:val="none"/>
          <w:lang w:val="en-US" w:eastAsia="zh-CN" w:bidi="ar-SA"/>
        </w:rPr>
        <w:t>（五）代表性成果</w:t>
      </w:r>
      <w:r>
        <w:rPr>
          <w:rFonts w:hint="eastAsia" w:ascii="楷体_GB2312" w:hAnsi="楷体_GB2312" w:eastAsia="楷体_GB2312" w:cs="楷体_GB2312"/>
          <w:b/>
          <w:bCs/>
          <w:color w:val="auto"/>
          <w:kern w:val="2"/>
          <w:sz w:val="32"/>
          <w:szCs w:val="32"/>
          <w:highlight w:val="none"/>
          <w:lang w:val="zh-CN" w:eastAsia="zh-CN" w:bidi="ar-SA"/>
        </w:rPr>
        <w:t>外审。</w:t>
      </w:r>
      <w:r>
        <w:rPr>
          <w:rFonts w:hint="eastAsia" w:ascii="仿宋_GB2312" w:hAnsi="仿宋_GB2312" w:eastAsia="仿宋_GB2312" w:cs="仿宋_GB2312"/>
          <w:color w:val="auto"/>
          <w:sz w:val="32"/>
          <w:szCs w:val="32"/>
          <w:shd w:val="clear" w:color="auto" w:fill="FFFFFF"/>
          <w:lang w:val="en-US" w:eastAsia="zh-CN"/>
        </w:rPr>
        <w:t>申报高级职称人员，每人提交1篇代表性论文，人事处统一负责组织，将论文隐名送审，对不符合条件者取消申报人的推荐资格。</w:t>
      </w:r>
    </w:p>
    <w:p>
      <w:pPr>
        <w:pStyle w:val="2"/>
        <w:keepNext w:val="0"/>
        <w:keepLines w:val="0"/>
        <w:pageBreakBefore w:val="0"/>
        <w:widowControl w:val="0"/>
        <w:kinsoku/>
        <w:wordWrap/>
        <w:overflowPunct/>
        <w:topLinePunct w:val="0"/>
        <w:autoSpaceDE/>
        <w:autoSpaceDN/>
        <w:bidi w:val="0"/>
        <w:adjustRightInd w:val="0"/>
        <w:snapToGrid w:val="0"/>
        <w:spacing w:line="348" w:lineRule="auto"/>
        <w:ind w:left="0" w:leftChars="0" w:firstLine="643"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b/>
          <w:bCs/>
          <w:color w:val="auto"/>
          <w:kern w:val="2"/>
          <w:sz w:val="32"/>
          <w:szCs w:val="32"/>
          <w:highlight w:val="none"/>
          <w:lang w:val="en-US" w:eastAsia="zh-CN" w:bidi="ar-SA"/>
        </w:rPr>
        <w:t>（六）学校推荐。</w:t>
      </w:r>
      <w:r>
        <w:rPr>
          <w:rFonts w:hint="eastAsia" w:ascii="仿宋_GB2312" w:hAnsi="仿宋_GB2312" w:eastAsia="仿宋_GB2312" w:cs="仿宋_GB2312"/>
          <w:color w:val="auto"/>
          <w:sz w:val="32"/>
          <w:szCs w:val="32"/>
          <w:shd w:val="clear" w:color="auto" w:fill="FFFFFF"/>
          <w:lang w:val="en-US" w:eastAsia="zh-CN"/>
        </w:rPr>
        <w:t>学校推荐应按照“公开、展示、考核、评议、监督”相结合的推荐办法进行推荐。职称推荐会议推荐出的教师（实验人员）系列人选进入校级评审，职称推荐会议推荐出的辅系列人选委托具有相应系列评审权限的职称评审会评审。</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3" w:firstLineChars="200"/>
        <w:jc w:val="both"/>
        <w:textAlignment w:val="auto"/>
        <w:rPr>
          <w:rFonts w:hint="default"/>
          <w:color w:val="auto"/>
          <w:lang w:val="en-US" w:eastAsia="zh-CN"/>
        </w:rPr>
      </w:pPr>
      <w:r>
        <w:rPr>
          <w:rFonts w:hint="eastAsia" w:ascii="楷体_GB2312" w:hAnsi="楷体_GB2312" w:eastAsia="楷体_GB2312" w:cs="楷体_GB2312"/>
          <w:b/>
          <w:bCs/>
          <w:color w:val="auto"/>
          <w:kern w:val="2"/>
          <w:sz w:val="32"/>
          <w:szCs w:val="32"/>
          <w:highlight w:val="none"/>
          <w:lang w:val="en-US" w:eastAsia="zh-CN" w:bidi="ar-SA"/>
        </w:rPr>
        <w:t>（七）网上申报。</w:t>
      </w:r>
      <w:r>
        <w:rPr>
          <w:rFonts w:hint="eastAsia" w:ascii="仿宋_GB2312" w:hAnsi="仿宋_GB2312" w:eastAsia="仿宋_GB2312" w:cs="仿宋_GB2312"/>
          <w:color w:val="auto"/>
          <w:sz w:val="32"/>
          <w:szCs w:val="32"/>
          <w:lang w:val="en-US" w:eastAsia="zh-CN"/>
        </w:rPr>
        <w:t>符合评审条件的申报人在人事处办理相关手续，缴纳评审报名费后登录申报系统进行网上申报。校评办公室做好上传资料的审核、审批与考核、五公开报告的上传工作。</w:t>
      </w:r>
    </w:p>
    <w:p>
      <w:pPr>
        <w:pStyle w:val="11"/>
        <w:keepNext w:val="0"/>
        <w:keepLines w:val="0"/>
        <w:pageBreakBefore w:val="0"/>
        <w:wordWrap/>
        <w:topLinePunct w:val="0"/>
        <w:bidi w:val="0"/>
        <w:adjustRightInd w:val="0"/>
        <w:snapToGrid w:val="0"/>
        <w:spacing w:line="348" w:lineRule="auto"/>
        <w:ind w:left="0" w:firstLine="643" w:firstLineChars="200"/>
        <w:textAlignment w:val="auto"/>
        <w:rPr>
          <w:rFonts w:hint="default" w:ascii="楷体_GB2312" w:hAnsi="楷体_GB2312" w:eastAsia="楷体_GB2312" w:cs="楷体_GB2312"/>
          <w:b/>
          <w:bCs/>
          <w:color w:val="auto"/>
          <w:kern w:val="0"/>
          <w:sz w:val="32"/>
          <w:szCs w:val="32"/>
          <w:highlight w:val="none"/>
          <w:lang w:val="en-US" w:eastAsia="zh-CN" w:bidi="zh-CN"/>
        </w:rPr>
      </w:pPr>
      <w:r>
        <w:rPr>
          <w:rFonts w:hint="eastAsia" w:ascii="楷体_GB2312" w:hAnsi="楷体_GB2312" w:eastAsia="楷体_GB2312" w:cs="楷体_GB2312"/>
          <w:b/>
          <w:bCs/>
          <w:color w:val="auto"/>
          <w:kern w:val="0"/>
          <w:sz w:val="32"/>
          <w:szCs w:val="32"/>
          <w:highlight w:val="none"/>
          <w:lang w:val="en-US" w:eastAsia="zh-CN" w:bidi="zh-CN"/>
        </w:rPr>
        <w:t>（八）组建评委会并培训</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郑州工商学院专业技术职务自主评审办法》（校人〔2023〕17号）和有关职称评审规定组建评委会，职称评审委员会组成人员为单数，具体人数根据年度工作方案申报人数和学科分组确定，主任委员和副主任委员，分别由校长和相关副校长担任，评审专家从专家库抽取。</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评审前要开展评审工作业务培训，组织全体评委会成员学习高校教师（实验员）系列评审条件、有关职称政策和评审工作规则等，明确评审纪律和要求，讨论需要明确和统一认识的有关问题。</w:t>
      </w:r>
    </w:p>
    <w:p>
      <w:pPr>
        <w:pStyle w:val="11"/>
        <w:keepNext w:val="0"/>
        <w:keepLines w:val="0"/>
        <w:pageBreakBefore w:val="0"/>
        <w:wordWrap/>
        <w:topLinePunct w:val="0"/>
        <w:bidi w:val="0"/>
        <w:adjustRightInd w:val="0"/>
        <w:snapToGrid w:val="0"/>
        <w:spacing w:line="348" w:lineRule="auto"/>
        <w:ind w:left="0" w:firstLine="643" w:firstLineChars="200"/>
        <w:textAlignment w:val="auto"/>
        <w:rPr>
          <w:rFonts w:hint="default" w:ascii="楷体_GB2312" w:hAnsi="楷体_GB2312" w:eastAsia="楷体_GB2312" w:cs="楷体_GB2312"/>
          <w:b/>
          <w:bCs/>
          <w:color w:val="auto"/>
          <w:kern w:val="0"/>
          <w:sz w:val="32"/>
          <w:szCs w:val="32"/>
          <w:highlight w:val="none"/>
          <w:lang w:val="en-US" w:eastAsia="zh-CN" w:bidi="zh-CN"/>
        </w:rPr>
      </w:pPr>
      <w:r>
        <w:rPr>
          <w:rFonts w:hint="eastAsia" w:ascii="楷体_GB2312" w:hAnsi="楷体_GB2312" w:eastAsia="楷体_GB2312" w:cs="楷体_GB2312"/>
          <w:b/>
          <w:bCs/>
          <w:color w:val="auto"/>
          <w:kern w:val="0"/>
          <w:sz w:val="32"/>
          <w:szCs w:val="32"/>
          <w:highlight w:val="none"/>
          <w:lang w:val="en-US" w:eastAsia="zh-CN" w:bidi="zh-CN"/>
        </w:rPr>
        <w:t>（九）组织评审</w:t>
      </w:r>
    </w:p>
    <w:p>
      <w:pPr>
        <w:keepNext w:val="0"/>
        <w:keepLines w:val="0"/>
        <w:pageBreakBefore w:val="0"/>
        <w:widowControl w:val="0"/>
        <w:numPr>
          <w:ilvl w:val="0"/>
          <w:numId w:val="4"/>
        </w:numPr>
        <w:kinsoku/>
        <w:wordWrap/>
        <w:overflowPunct/>
        <w:topLinePunct w:val="0"/>
        <w:autoSpaceDE/>
        <w:autoSpaceDN/>
        <w:bidi w:val="0"/>
        <w:adjustRightInd w:val="0"/>
        <w:snapToGrid w:val="0"/>
        <w:spacing w:after="0" w:line="348" w:lineRule="auto"/>
        <w:ind w:right="0" w:firstLine="643" w:firstLineChars="200"/>
        <w:jc w:val="both"/>
        <w:textAlignment w:val="auto"/>
        <w:rPr>
          <w:rFonts w:hint="eastAsia" w:ascii="仿宋_GB2312" w:hAnsi="仿宋_GB2312" w:eastAsia="仿宋_GB2312" w:cs="仿宋_GB2312"/>
          <w:b/>
          <w:bCs/>
          <w:color w:val="auto"/>
          <w:kern w:val="0"/>
          <w:sz w:val="32"/>
          <w:szCs w:val="32"/>
          <w:highlight w:val="none"/>
          <w:lang w:val="en-US" w:bidi="zh-CN"/>
        </w:rPr>
      </w:pPr>
      <w:r>
        <w:rPr>
          <w:rFonts w:hint="eastAsia" w:ascii="仿宋_GB2312" w:hAnsi="仿宋_GB2312" w:eastAsia="仿宋_GB2312" w:cs="仿宋_GB2312"/>
          <w:b/>
          <w:bCs/>
          <w:color w:val="auto"/>
          <w:kern w:val="0"/>
          <w:sz w:val="32"/>
          <w:szCs w:val="32"/>
          <w:highlight w:val="none"/>
          <w:lang w:val="en-US" w:bidi="zh-CN"/>
        </w:rPr>
        <w:t>学科组评审（同行专家评议）</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综合评议。学科组评审工作由评委会的学科组负责，学科组一般由3人以上组成，设组长1人或组长、副组长各1人。到会专家充分讨论、评议，根据申报人提供的业绩、成果、论文、论著及答辩成绩等，综合评价其学术技术水平，衡量是否符合所申报专业技术职务的水平，经投票表决，赞成票数超过半数（含），可推荐到评委会评审。学科组评议未通过人员要说明具体的不推荐原因。</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eastAsia="zh-CN"/>
        </w:rPr>
        <w:t>）讲课答辩。</w:t>
      </w:r>
      <w:r>
        <w:rPr>
          <w:rFonts w:hint="eastAsia" w:ascii="仿宋_GB2312" w:hAnsi="仿宋_GB2312" w:eastAsia="仿宋_GB2312" w:cs="仿宋_GB2312"/>
          <w:color w:val="auto"/>
          <w:sz w:val="32"/>
          <w:szCs w:val="32"/>
          <w:lang w:val="en-US" w:eastAsia="zh-CN"/>
        </w:rPr>
        <w:t>在教学理论的指导下，依据教学大纲和教材，结合教学实际和教学条件，申报高级职称人员试讲8—10分钟教学片段，并针对评委随机提出的3个问题进行5分钟答辩；讲课主要考察申报人员的教学能力，答辩主要考察申报人员所具备的理论基础、专业技能，科研能力等方面的情况。</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中级及转评申报人员依据主讲课程教学大纲和教材试讲8分钟教学片段，并针对评委随机提出的问题进行4分钟答辩。主要了解申报人员的教学科研基本能力、考察申报人员所具备的理论基础、专业知识。</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after="0" w:line="348" w:lineRule="auto"/>
        <w:ind w:right="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bidi="zh-CN"/>
        </w:rPr>
      </w:pPr>
      <w:r>
        <w:rPr>
          <w:rFonts w:hint="eastAsia" w:ascii="仿宋_GB2312" w:hAnsi="仿宋_GB2312" w:eastAsia="仿宋_GB2312" w:cs="仿宋_GB2312"/>
          <w:b/>
          <w:bCs/>
          <w:color w:val="auto"/>
          <w:kern w:val="0"/>
          <w:sz w:val="32"/>
          <w:szCs w:val="32"/>
          <w:highlight w:val="none"/>
          <w:lang w:val="en-US" w:eastAsia="zh-CN" w:bidi="zh-CN"/>
        </w:rPr>
        <w:t>召开评审会议（评审表决）</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评审会议由主任委员或者副主任委员主持。学科组组长向评委会汇报组内评审情况，宣读答辩结果，评委会委员在发扬民主、各抒己见、充分讨论的基础上，对照评审条件独立思考，做出自己的评价意见。</w:t>
      </w:r>
      <w:r>
        <w:rPr>
          <w:rFonts w:hint="eastAsia" w:ascii="仿宋_GB2312" w:hAnsi="仿宋_GB2312" w:eastAsia="仿宋_GB2312" w:cs="仿宋_GB2312"/>
          <w:color w:val="auto"/>
          <w:sz w:val="32"/>
          <w:szCs w:val="32"/>
          <w:highlight w:val="none"/>
          <w:lang w:val="en-US" w:eastAsia="zh-CN"/>
        </w:rPr>
        <w:t>学科组陈述评语及表决结果，并回答评审会其他评委质疑，</w:t>
      </w:r>
      <w:r>
        <w:rPr>
          <w:rFonts w:hint="eastAsia" w:ascii="仿宋_GB2312" w:hAnsi="仿宋_GB2312" w:eastAsia="仿宋_GB2312" w:cs="仿宋_GB2312"/>
          <w:color w:val="auto"/>
          <w:sz w:val="32"/>
          <w:szCs w:val="32"/>
          <w:lang w:val="en-US" w:eastAsia="zh-CN"/>
        </w:rPr>
        <w:t>必要时展示有争议人员的有关证明材料等。所有专家根据学科组意见，对全部参评人员材料进行审核，凡赞成票达到与会评委三分之二（含）以上的为评审通过。未出席评审会的评委不得委托他人投票。主任委员宣布投票结果并且系统内提交。表决结果经确认后，评审领导小组组长在表决结果统计表上签字，并宣布表决结果。</w:t>
      </w:r>
    </w:p>
    <w:p>
      <w:pPr>
        <w:keepNext w:val="0"/>
        <w:keepLines w:val="0"/>
        <w:pageBreakBefore w:val="0"/>
        <w:widowControl w:val="0"/>
        <w:numPr>
          <w:ilvl w:val="0"/>
          <w:numId w:val="4"/>
        </w:numPr>
        <w:kinsoku/>
        <w:wordWrap/>
        <w:overflowPunct/>
        <w:topLinePunct w:val="0"/>
        <w:autoSpaceDE w:val="0"/>
        <w:autoSpaceDN w:val="0"/>
        <w:bidi w:val="0"/>
        <w:adjustRightInd w:val="0"/>
        <w:snapToGrid w:val="0"/>
        <w:spacing w:after="0" w:line="348" w:lineRule="auto"/>
        <w:ind w:right="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bidi="zh-CN"/>
        </w:rPr>
      </w:pPr>
      <w:r>
        <w:rPr>
          <w:rFonts w:hint="eastAsia" w:ascii="仿宋_GB2312" w:hAnsi="仿宋_GB2312" w:eastAsia="仿宋_GB2312" w:cs="仿宋_GB2312"/>
          <w:b/>
          <w:bCs/>
          <w:color w:val="auto"/>
          <w:kern w:val="0"/>
          <w:sz w:val="32"/>
          <w:szCs w:val="32"/>
          <w:highlight w:val="none"/>
          <w:lang w:val="en-US" w:eastAsia="zh-CN" w:bidi="zh-CN"/>
        </w:rPr>
        <w:t>总结评审工作</w:t>
      </w:r>
    </w:p>
    <w:p>
      <w:pPr>
        <w:keepNext w:val="0"/>
        <w:keepLines w:val="0"/>
        <w:pageBreakBefore w:val="0"/>
        <w:widowControl w:val="0"/>
        <w:suppressLineNumbers w:val="0"/>
        <w:kinsoku/>
        <w:wordWrap/>
        <w:overflowPunct/>
        <w:topLinePunct w:val="0"/>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评审工作结束后，主任委员要组织评委进行评审工作总结。评委会所在单位应参加评委会的工作总结，认真听取评。委成员的意见和建议，并对评委会执行政策、履行职责和遵守纪律等方面的情况，作出公正、客观的评价。</w:t>
      </w:r>
    </w:p>
    <w:p>
      <w:pPr>
        <w:keepNext w:val="0"/>
        <w:keepLines w:val="0"/>
        <w:pageBreakBefore w:val="0"/>
        <w:widowControl w:val="0"/>
        <w:kinsoku/>
        <w:wordWrap/>
        <w:overflowPunct/>
        <w:topLinePunct w:val="0"/>
        <w:autoSpaceDE w:val="0"/>
        <w:autoSpaceDN w:val="0"/>
        <w:bidi w:val="0"/>
        <w:adjustRightInd w:val="0"/>
        <w:snapToGrid w:val="0"/>
        <w:spacing w:after="0" w:line="348" w:lineRule="auto"/>
        <w:ind w:right="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kern w:val="0"/>
          <w:sz w:val="32"/>
          <w:szCs w:val="32"/>
          <w:highlight w:val="none"/>
          <w:lang w:val="en-US" w:eastAsia="zh-CN" w:bidi="zh-CN"/>
        </w:rPr>
        <w:t>（十）结果公示。</w:t>
      </w:r>
      <w:r>
        <w:rPr>
          <w:rFonts w:hint="eastAsia" w:ascii="仿宋_GB2312" w:hAnsi="仿宋_GB2312" w:eastAsia="仿宋_GB2312" w:cs="仿宋_GB2312"/>
          <w:color w:val="auto"/>
          <w:sz w:val="32"/>
          <w:szCs w:val="32"/>
          <w:lang w:val="en-US" w:eastAsia="zh-CN"/>
        </w:rPr>
        <w:t>评审结果在全校范围内集中公示5个工作日。</w:t>
      </w:r>
    </w:p>
    <w:p>
      <w:pPr>
        <w:keepNext w:val="0"/>
        <w:keepLines w:val="0"/>
        <w:pageBreakBefore w:val="0"/>
        <w:widowControl w:val="0"/>
        <w:kinsoku/>
        <w:wordWrap/>
        <w:overflowPunct/>
        <w:topLinePunct w:val="0"/>
        <w:autoSpaceDE w:val="0"/>
        <w:autoSpaceDN w:val="0"/>
        <w:bidi w:val="0"/>
        <w:adjustRightInd w:val="0"/>
        <w:snapToGrid w:val="0"/>
        <w:spacing w:after="0" w:line="348" w:lineRule="auto"/>
        <w:ind w:left="0" w:leftChars="0" w:right="0"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楷体_GB2312" w:hAnsi="楷体_GB2312" w:eastAsia="楷体_GB2312" w:cs="楷体_GB2312"/>
          <w:b/>
          <w:bCs/>
          <w:color w:val="auto"/>
          <w:kern w:val="0"/>
          <w:sz w:val="32"/>
          <w:szCs w:val="32"/>
          <w:highlight w:val="none"/>
          <w:lang w:val="zh-CN" w:eastAsia="zh-CN" w:bidi="zh-CN"/>
        </w:rPr>
        <w:t>（</w:t>
      </w:r>
      <w:r>
        <w:rPr>
          <w:rFonts w:hint="eastAsia" w:ascii="楷体_GB2312" w:hAnsi="楷体_GB2312" w:eastAsia="楷体_GB2312" w:cs="楷体_GB2312"/>
          <w:b/>
          <w:bCs/>
          <w:color w:val="auto"/>
          <w:kern w:val="0"/>
          <w:sz w:val="32"/>
          <w:szCs w:val="32"/>
          <w:highlight w:val="none"/>
          <w:lang w:val="en-US" w:eastAsia="zh-CN" w:bidi="zh-CN"/>
        </w:rPr>
        <w:t>十一</w:t>
      </w:r>
      <w:r>
        <w:rPr>
          <w:rFonts w:hint="eastAsia" w:ascii="楷体_GB2312" w:hAnsi="楷体_GB2312" w:eastAsia="楷体_GB2312" w:cs="楷体_GB2312"/>
          <w:b/>
          <w:bCs/>
          <w:color w:val="auto"/>
          <w:kern w:val="0"/>
          <w:sz w:val="32"/>
          <w:szCs w:val="32"/>
          <w:highlight w:val="none"/>
          <w:lang w:val="zh-CN" w:eastAsia="zh-CN" w:bidi="zh-CN"/>
        </w:rPr>
        <w:t>）</w:t>
      </w:r>
      <w:r>
        <w:rPr>
          <w:rFonts w:hint="eastAsia" w:ascii="楷体_GB2312" w:hAnsi="楷体_GB2312" w:eastAsia="楷体_GB2312" w:cs="楷体_GB2312"/>
          <w:b/>
          <w:bCs/>
          <w:color w:val="auto"/>
          <w:kern w:val="0"/>
          <w:sz w:val="32"/>
          <w:szCs w:val="32"/>
          <w:highlight w:val="none"/>
          <w:lang w:val="en-US" w:eastAsia="zh-CN" w:bidi="zh-CN"/>
        </w:rPr>
        <w:t>上报备案。</w:t>
      </w:r>
      <w:r>
        <w:rPr>
          <w:rFonts w:hint="eastAsia" w:ascii="仿宋_GB2312" w:hAnsi="仿宋_GB2312" w:eastAsia="仿宋_GB2312" w:cs="仿宋_GB2312"/>
          <w:color w:val="auto"/>
          <w:kern w:val="0"/>
          <w:sz w:val="32"/>
          <w:szCs w:val="32"/>
          <w:lang w:val="en-US" w:eastAsia="zh-CN" w:bidi="ar"/>
        </w:rPr>
        <w:t>评审结果公示无异议，通过河南职称管理服务平台生成证书编号，下发任职通知。按照管理权限，学校将</w:t>
      </w:r>
      <w:r>
        <w:rPr>
          <w:rFonts w:hint="eastAsia" w:ascii="仿宋_GB2312" w:hAnsi="仿宋_GB2312" w:eastAsia="仿宋_GB2312" w:cs="仿宋_GB2312"/>
          <w:color w:val="auto"/>
          <w:sz w:val="32"/>
          <w:szCs w:val="32"/>
          <w:shd w:val="clear" w:color="auto" w:fill="FFFFFF"/>
        </w:rPr>
        <w:t>评审结果报</w:t>
      </w:r>
      <w:r>
        <w:rPr>
          <w:rFonts w:hint="eastAsia" w:ascii="仿宋_GB2312" w:hAnsi="仿宋_GB2312" w:eastAsia="仿宋_GB2312" w:cs="仿宋_GB2312"/>
          <w:color w:val="auto"/>
          <w:sz w:val="32"/>
          <w:szCs w:val="32"/>
          <w:shd w:val="clear" w:color="auto" w:fill="FFFFFF"/>
          <w:lang w:val="en-US" w:eastAsia="zh-CN"/>
        </w:rPr>
        <w:t>上级职改部门备案</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48" w:lineRule="auto"/>
        <w:ind w:leftChars="0" w:right="0" w:rightChars="0" w:firstLine="643"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bCs/>
          <w:color w:val="auto"/>
          <w:kern w:val="0"/>
          <w:sz w:val="32"/>
          <w:szCs w:val="32"/>
          <w:highlight w:val="none"/>
          <w:lang w:val="en-US" w:eastAsia="zh-CN" w:bidi="zh-CN"/>
        </w:rPr>
        <w:t>（十二）学校聘任。</w:t>
      </w:r>
      <w:r>
        <w:rPr>
          <w:rFonts w:hint="eastAsia" w:ascii="仿宋_GB2312" w:hAnsi="仿宋_GB2312" w:eastAsia="仿宋_GB2312" w:cs="仿宋_GB2312"/>
          <w:color w:val="auto"/>
          <w:kern w:val="0"/>
          <w:sz w:val="32"/>
          <w:szCs w:val="32"/>
          <w:lang w:val="en-US" w:eastAsia="zh-CN" w:bidi="ar"/>
        </w:rPr>
        <w:t>学校对上述各类评审通过人员，按</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48" w:lineRule="auto"/>
        <w:ind w:right="0" w:rightChars="0" w:firstLine="640" w:firstLineChars="200"/>
        <w:jc w:val="both"/>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规定程序颁发任职资格和聘任证书。</w:t>
      </w:r>
    </w:p>
    <w:p>
      <w:pPr>
        <w:keepNext w:val="0"/>
        <w:keepLines w:val="0"/>
        <w:pageBreakBefore w:val="0"/>
        <w:widowControl w:val="0"/>
        <w:suppressLineNumbers w:val="0"/>
        <w:kinsoku/>
        <w:wordWrap/>
        <w:overflowPunct/>
        <w:topLinePunct w:val="0"/>
        <w:bidi w:val="0"/>
        <w:adjustRightInd w:val="0"/>
        <w:snapToGrid w:val="0"/>
        <w:spacing w:line="348" w:lineRule="auto"/>
        <w:ind w:left="0" w:leftChars="0" w:firstLine="640" w:firstLineChars="200"/>
        <w:jc w:val="both"/>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纪律</w:t>
      </w:r>
      <w:r>
        <w:rPr>
          <w:rFonts w:hint="eastAsia" w:ascii="黑体" w:hAnsi="黑体" w:eastAsia="黑体" w:cs="黑体"/>
          <w:color w:val="auto"/>
          <w:sz w:val="32"/>
          <w:szCs w:val="32"/>
          <w:highlight w:val="none"/>
          <w:lang w:val="en-US" w:eastAsia="zh-CN"/>
        </w:rPr>
        <w:t>与监督</w:t>
      </w:r>
    </w:p>
    <w:p>
      <w:pPr>
        <w:keepNext w:val="0"/>
        <w:keepLines w:val="0"/>
        <w:pageBreakBefore w:val="0"/>
        <w:widowControl w:val="0"/>
        <w:kinsoku/>
        <w:wordWrap/>
        <w:overflowPunct/>
        <w:topLinePunct w:val="0"/>
        <w:bidi w:val="0"/>
        <w:adjustRightInd w:val="0"/>
        <w:snapToGrid w:val="0"/>
        <w:spacing w:line="348" w:lineRule="auto"/>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val="en-US" w:eastAsia="zh-CN" w:bidi="zh-CN"/>
        </w:rPr>
        <w:t>（一）公开公正。</w:t>
      </w:r>
      <w:r>
        <w:rPr>
          <w:rFonts w:hint="eastAsia" w:ascii="仿宋_GB2312" w:hAnsi="仿宋_GB2312" w:eastAsia="仿宋_GB2312" w:cs="仿宋_GB2312"/>
          <w:color w:val="auto"/>
          <w:sz w:val="32"/>
          <w:szCs w:val="32"/>
          <w:highlight w:val="none"/>
        </w:rPr>
        <w:t>各级推荐及评审机构要严格履行“公开、展示、考核、评议、监督”程序，认真贯彻“公开、公平、竞争、择优”原则，做好评审推荐工作。</w:t>
      </w:r>
    </w:p>
    <w:p>
      <w:pPr>
        <w:keepNext w:val="0"/>
        <w:keepLines w:val="0"/>
        <w:pageBreakBefore w:val="0"/>
        <w:widowControl w:val="0"/>
        <w:kinsoku/>
        <w:wordWrap/>
        <w:overflowPunct/>
        <w:topLinePunct w:val="0"/>
        <w:bidi w:val="0"/>
        <w:adjustRightInd w:val="0"/>
        <w:snapToGrid w:val="0"/>
        <w:spacing w:line="348" w:lineRule="auto"/>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val="en-US" w:eastAsia="zh-CN" w:bidi="zh-CN"/>
        </w:rPr>
        <w:t>（二）诚实诚信。</w:t>
      </w:r>
      <w:r>
        <w:rPr>
          <w:rFonts w:hint="eastAsia" w:ascii="仿宋_GB2312" w:hAnsi="仿宋_GB2312" w:eastAsia="仿宋_GB2312" w:cs="仿宋_GB2312"/>
          <w:color w:val="auto"/>
          <w:sz w:val="32"/>
          <w:szCs w:val="32"/>
          <w:highlight w:val="none"/>
        </w:rPr>
        <w:t>实行个人和所在部门“双承诺”制，由申报人和所在部门及负责人在《职称申报评审诚信承诺书》上签字盖章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对于弄虚作假的申报人员，一经查实，取消三年申报资格，并对其所在部门予以通报批评。</w:t>
      </w:r>
    </w:p>
    <w:p>
      <w:pPr>
        <w:keepNext w:val="0"/>
        <w:keepLines w:val="0"/>
        <w:pageBreakBefore w:val="0"/>
        <w:widowControl w:val="0"/>
        <w:kinsoku/>
        <w:wordWrap/>
        <w:overflowPunct/>
        <w:topLinePunct w:val="0"/>
        <w:bidi w:val="0"/>
        <w:adjustRightInd w:val="0"/>
        <w:snapToGrid w:val="0"/>
        <w:spacing w:line="348" w:lineRule="auto"/>
        <w:ind w:left="0" w:firstLine="643"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0"/>
          <w:sz w:val="32"/>
          <w:szCs w:val="32"/>
          <w:highlight w:val="none"/>
          <w:lang w:val="en-US" w:eastAsia="zh-CN" w:bidi="zh-CN"/>
        </w:rPr>
        <w:t>（三）纪律监督。</w:t>
      </w:r>
      <w:r>
        <w:rPr>
          <w:rFonts w:hint="eastAsia" w:ascii="仿宋_GB2312" w:hAnsi="仿宋_GB2312" w:eastAsia="仿宋_GB2312" w:cs="仿宋_GB2312"/>
          <w:color w:val="auto"/>
          <w:sz w:val="32"/>
          <w:szCs w:val="32"/>
          <w:highlight w:val="none"/>
        </w:rPr>
        <w:t>学校职称评审监督组对职称评审工作进行全程监督。</w:t>
      </w:r>
    </w:p>
    <w:p>
      <w:pPr>
        <w:keepNext w:val="0"/>
        <w:keepLines w:val="0"/>
        <w:pageBreakBefore w:val="0"/>
        <w:widowControl w:val="0"/>
        <w:kinsoku/>
        <w:wordWrap/>
        <w:overflowPunct/>
        <w:topLinePunct w:val="0"/>
        <w:bidi w:val="0"/>
        <w:adjustRightInd w:val="0"/>
        <w:snapToGrid w:val="0"/>
        <w:spacing w:line="348" w:lineRule="auto"/>
        <w:ind w:left="0" w:firstLine="643" w:firstLineChars="200"/>
        <w:jc w:val="both"/>
        <w:textAlignment w:val="auto"/>
        <w:rPr>
          <w:rFonts w:hint="eastAsia" w:eastAsia="仿宋_GB2312"/>
          <w:color w:val="auto"/>
          <w:lang w:eastAsia="zh-CN"/>
        </w:rPr>
      </w:pPr>
      <w:r>
        <w:rPr>
          <w:rFonts w:hint="eastAsia" w:ascii="楷体_GB2312" w:hAnsi="楷体_GB2312" w:eastAsia="楷体_GB2312" w:cs="楷体_GB2312"/>
          <w:b/>
          <w:bCs/>
          <w:color w:val="auto"/>
          <w:kern w:val="0"/>
          <w:sz w:val="32"/>
          <w:szCs w:val="32"/>
          <w:highlight w:val="none"/>
          <w:lang w:val="en-US" w:eastAsia="zh-CN" w:bidi="zh-CN"/>
        </w:rPr>
        <w:t>（四）回避制度。</w:t>
      </w:r>
      <w:r>
        <w:rPr>
          <w:rFonts w:hint="eastAsia" w:ascii="仿宋_GB2312" w:hAnsi="仿宋_GB2312" w:eastAsia="仿宋_GB2312" w:cs="仿宋_GB2312"/>
          <w:color w:val="auto"/>
          <w:sz w:val="32"/>
          <w:szCs w:val="32"/>
          <w:highlight w:val="none"/>
        </w:rPr>
        <w:t>学校各级评审（推荐）机构成员本人或有近亲属（配偶、直系血亲和近姻亲）参评时，本人应主动予以回避。</w:t>
      </w:r>
    </w:p>
    <w:p>
      <w:pPr>
        <w:keepNext w:val="0"/>
        <w:keepLines w:val="0"/>
        <w:pageBreakBefore w:val="0"/>
        <w:widowControl w:val="0"/>
        <w:kinsoku/>
        <w:wordWrap/>
        <w:overflowPunct/>
        <w:topLinePunct w:val="0"/>
        <w:bidi w:val="0"/>
        <w:adjustRightInd w:val="0"/>
        <w:snapToGrid w:val="0"/>
        <w:spacing w:line="348" w:lineRule="auto"/>
        <w:ind w:left="1598" w:leftChars="304" w:hanging="960" w:hangingChars="300"/>
        <w:jc w:val="both"/>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bidi w:val="0"/>
        <w:adjustRightInd w:val="0"/>
        <w:snapToGrid w:val="0"/>
        <w:spacing w:line="348" w:lineRule="auto"/>
        <w:ind w:left="1598" w:leftChars="304" w:hanging="960" w:hangingChars="3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附件：郑州工商学院申报中、高级专业技术职务任职资格人员讲课答辩工作暂行办法</w:t>
      </w:r>
    </w:p>
    <w:p>
      <w:pPr>
        <w:pStyle w:val="12"/>
        <w:rPr>
          <w:rFonts w:hint="eastAsia" w:ascii="仿宋_GB2312" w:hAnsi="仿宋_GB2312" w:eastAsia="仿宋_GB2312" w:cs="仿宋_GB2312"/>
          <w:color w:val="auto"/>
          <w:sz w:val="32"/>
          <w:szCs w:val="32"/>
          <w:highlight w:val="none"/>
          <w:lang w:val="en-US" w:eastAsia="zh-CN"/>
        </w:rPr>
      </w:pPr>
    </w:p>
    <w:p>
      <w:pP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br w:type="page"/>
      </w:r>
    </w:p>
    <w:p>
      <w:pPr>
        <w:keepNext w:val="0"/>
        <w:keepLines w:val="0"/>
        <w:widowControl/>
        <w:suppressLineNumbers w:val="0"/>
        <w:jc w:val="left"/>
        <w:rPr>
          <w:rFonts w:hint="eastAsia" w:ascii="黑体" w:hAnsi="宋体" w:eastAsia="黑体" w:cs="黑体"/>
          <w:color w:val="auto"/>
          <w:kern w:val="0"/>
          <w:sz w:val="32"/>
          <w:szCs w:val="32"/>
          <w:lang w:val="en-US" w:eastAsia="zh-CN" w:bidi="ar"/>
        </w:rPr>
      </w:pPr>
      <w:r>
        <w:rPr>
          <w:rFonts w:ascii="黑体" w:hAnsi="宋体" w:eastAsia="黑体" w:cs="黑体"/>
          <w:color w:val="auto"/>
          <w:kern w:val="0"/>
          <w:sz w:val="32"/>
          <w:szCs w:val="32"/>
          <w:lang w:val="en-US" w:eastAsia="zh-CN" w:bidi="ar"/>
        </w:rPr>
        <w:t>附件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Cs/>
          <w:color w:val="auto"/>
          <w:w w:val="100"/>
          <w:sz w:val="44"/>
          <w:szCs w:val="44"/>
          <w:lang w:val="en-US" w:eastAsia="zh-CN"/>
        </w:rPr>
      </w:pPr>
      <w:r>
        <w:rPr>
          <w:rFonts w:hint="eastAsia" w:ascii="方正小标宋简体" w:hAnsi="方正小标宋简体" w:eastAsia="方正小标宋简体" w:cs="方正小标宋简体"/>
          <w:bCs/>
          <w:color w:val="auto"/>
          <w:w w:val="100"/>
          <w:sz w:val="44"/>
          <w:szCs w:val="44"/>
          <w:lang w:val="en-US" w:eastAsia="zh-CN"/>
        </w:rPr>
        <w:t>郑州工商学院申报中、高级专业技术职务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Cs/>
          <w:color w:val="auto"/>
          <w:w w:val="90"/>
          <w:sz w:val="44"/>
          <w:szCs w:val="44"/>
          <w:lang w:val="en-US" w:eastAsia="zh-CN"/>
        </w:rPr>
      </w:pPr>
      <w:r>
        <w:rPr>
          <w:rFonts w:hint="eastAsia" w:ascii="方正小标宋简体" w:hAnsi="方正小标宋简体" w:eastAsia="方正小标宋简体" w:cs="方正小标宋简体"/>
          <w:bCs/>
          <w:color w:val="auto"/>
          <w:w w:val="100"/>
          <w:sz w:val="44"/>
          <w:szCs w:val="44"/>
          <w:lang w:val="en-US" w:eastAsia="zh-CN"/>
        </w:rPr>
        <w:t>任职资格人员讲课答辩工作暂行办法</w:t>
      </w:r>
    </w:p>
    <w:p>
      <w:pPr>
        <w:keepNext w:val="0"/>
        <w:keepLines w:val="0"/>
        <w:pageBreakBefore w:val="0"/>
        <w:widowControl w:val="0"/>
        <w:kinsoku/>
        <w:wordWrap/>
        <w:overflowPunct/>
        <w:topLinePunct w:val="0"/>
        <w:bidi w:val="0"/>
        <w:adjustRightInd w:val="0"/>
        <w:snapToGrid w:val="0"/>
        <w:spacing w:line="348" w:lineRule="auto"/>
        <w:ind w:left="0" w:firstLine="640" w:firstLineChars="200"/>
        <w:textAlignment w:val="auto"/>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河南省人力资源和社会保障局关于进一步加强高校职称自主评审和监管服务有关工作的通知》（豫人社办〔2021〕91号）等文件精神，为进一步完善专业技术人才评价机制，体现教学中心导向，客观、全面地了解申报人员的工作业绩、专业理论知识和学术技术水平，提高职称评审工作的科学性和公正性，特制定本办法。</w:t>
      </w:r>
    </w:p>
    <w:p>
      <w:pPr>
        <w:keepNext w:val="0"/>
        <w:keepLines w:val="0"/>
        <w:pageBreakBefore w:val="0"/>
        <w:widowControl w:val="0"/>
        <w:kinsoku/>
        <w:wordWrap/>
        <w:overflowPunct/>
        <w:topLinePunct w:val="0"/>
        <w:autoSpaceDE w:val="0"/>
        <w:autoSpaceDN w:val="0"/>
        <w:bidi w:val="0"/>
        <w:adjustRightInd w:val="0"/>
        <w:snapToGrid w:val="0"/>
        <w:spacing w:after="0" w:line="348" w:lineRule="auto"/>
        <w:ind w:left="0" w:leftChars="0" w:right="0" w:firstLine="640" w:firstLineChars="200"/>
        <w:jc w:val="both"/>
        <w:textAlignment w:val="auto"/>
        <w:rPr>
          <w:rFonts w:hint="default" w:ascii="黑体" w:hAnsi="黑体" w:eastAsia="黑体" w:cs="黑体"/>
          <w:b w:val="0"/>
          <w:bCs/>
          <w:color w:val="auto"/>
          <w:kern w:val="0"/>
          <w:sz w:val="32"/>
          <w:szCs w:val="32"/>
          <w:lang w:val="en-US" w:eastAsia="zh-CN" w:bidi="zh-CN"/>
        </w:rPr>
      </w:pPr>
      <w:r>
        <w:rPr>
          <w:rFonts w:hint="eastAsia" w:ascii="黑体" w:hAnsi="黑体" w:eastAsia="黑体" w:cs="黑体"/>
          <w:b w:val="0"/>
          <w:bCs/>
          <w:color w:val="auto"/>
          <w:kern w:val="0"/>
          <w:sz w:val="32"/>
          <w:szCs w:val="32"/>
          <w:lang w:val="en-US" w:eastAsia="zh-CN" w:bidi="zh-CN"/>
        </w:rPr>
        <w:t>一、实施范围</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val="en-US" w:eastAsia="zh-CN"/>
        </w:rPr>
        <w:t>高校教师（实验员）中、</w:t>
      </w:r>
      <w:r>
        <w:rPr>
          <w:rFonts w:hint="eastAsia" w:ascii="仿宋_GB2312" w:hAnsi="仿宋_GB2312" w:eastAsia="仿宋_GB2312" w:cs="仿宋_GB2312"/>
          <w:color w:val="auto"/>
          <w:sz w:val="32"/>
          <w:szCs w:val="32"/>
          <w:lang w:eastAsia="zh-CN"/>
        </w:rPr>
        <w:t>高</w:t>
      </w:r>
      <w:r>
        <w:rPr>
          <w:rFonts w:hint="eastAsia" w:ascii="仿宋_GB2312" w:hAnsi="仿宋_GB2312" w:eastAsia="仿宋_GB2312" w:cs="仿宋_GB2312"/>
          <w:color w:val="auto"/>
          <w:sz w:val="32"/>
          <w:szCs w:val="32"/>
        </w:rPr>
        <w:t>级专业技术职务任职资格</w:t>
      </w:r>
      <w:r>
        <w:rPr>
          <w:rFonts w:hint="eastAsia" w:ascii="仿宋_GB2312" w:hAnsi="仿宋_GB2312" w:eastAsia="仿宋_GB2312" w:cs="仿宋_GB2312"/>
          <w:color w:val="auto"/>
          <w:sz w:val="32"/>
          <w:szCs w:val="32"/>
          <w:lang w:val="en-US" w:eastAsia="zh-CN"/>
        </w:rPr>
        <w:t>人员（含转评）须参加讲课答辩</w:t>
      </w:r>
      <w:r>
        <w:rPr>
          <w:rFonts w:hint="eastAsia" w:ascii="仿宋_GB2312" w:hAnsi="仿宋_GB2312" w:eastAsia="仿宋_GB2312" w:cs="仿宋_GB2312"/>
          <w:color w:val="auto"/>
          <w:sz w:val="32"/>
          <w:szCs w:val="32"/>
        </w:rPr>
        <w:t>。</w:t>
      </w:r>
    </w:p>
    <w:p>
      <w:pPr>
        <w:keepNext w:val="0"/>
        <w:keepLines w:val="0"/>
        <w:widowControl/>
        <w:numPr>
          <w:ilvl w:val="0"/>
          <w:numId w:val="5"/>
        </w:numPr>
        <w:suppressLineNumbers w:val="0"/>
        <w:adjustRightInd w:val="0"/>
        <w:snapToGrid w:val="0"/>
        <w:spacing w:line="348" w:lineRule="auto"/>
        <w:ind w:firstLine="640" w:firstLineChars="200"/>
        <w:jc w:val="both"/>
        <w:rPr>
          <w:rFonts w:hint="eastAsia" w:ascii="黑体" w:hAnsi="黑体" w:eastAsia="黑体" w:cs="黑体"/>
          <w:b w:val="0"/>
          <w:bCs/>
          <w:color w:val="auto"/>
          <w:kern w:val="0"/>
          <w:sz w:val="32"/>
          <w:szCs w:val="32"/>
          <w:lang w:val="en-US" w:eastAsia="zh-CN" w:bidi="zh-CN"/>
        </w:rPr>
      </w:pPr>
      <w:r>
        <w:rPr>
          <w:rFonts w:hint="eastAsia" w:ascii="黑体" w:hAnsi="黑体" w:eastAsia="黑体" w:cs="黑体"/>
          <w:b w:val="0"/>
          <w:bCs/>
          <w:color w:val="auto"/>
          <w:kern w:val="0"/>
          <w:sz w:val="32"/>
          <w:szCs w:val="32"/>
          <w:lang w:val="en-US" w:eastAsia="zh-CN" w:bidi="zh-CN"/>
        </w:rPr>
        <w:t>工作原则</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职称</w:t>
      </w:r>
      <w:r>
        <w:rPr>
          <w:rFonts w:hint="eastAsia" w:ascii="仿宋_GB2312" w:hAnsi="仿宋_GB2312" w:eastAsia="仿宋_GB2312" w:cs="仿宋_GB2312"/>
          <w:color w:val="auto"/>
          <w:sz w:val="32"/>
          <w:szCs w:val="32"/>
        </w:rPr>
        <w:t>评审讲课答辩工作</w:t>
      </w:r>
      <w:r>
        <w:rPr>
          <w:rFonts w:hint="eastAsia" w:ascii="仿宋_GB2312" w:hAnsi="仿宋_GB2312" w:eastAsia="仿宋_GB2312" w:cs="仿宋_GB2312"/>
          <w:color w:val="auto"/>
          <w:sz w:val="32"/>
          <w:szCs w:val="32"/>
          <w:lang w:val="en-US" w:eastAsia="zh-CN"/>
        </w:rPr>
        <w:t>以习近平新时代中国特色社会主义思想和党的教育方针</w:t>
      </w:r>
      <w:r>
        <w:rPr>
          <w:rFonts w:hint="eastAsia" w:ascii="仿宋_GB2312" w:hAnsi="仿宋_GB2312" w:eastAsia="仿宋_GB2312" w:cs="仿宋_GB2312"/>
          <w:color w:val="auto"/>
          <w:sz w:val="32"/>
          <w:szCs w:val="32"/>
        </w:rPr>
        <w:t>为指导，立足</w:t>
      </w:r>
      <w:r>
        <w:rPr>
          <w:rFonts w:hint="eastAsia" w:ascii="仿宋_GB2312" w:hAnsi="仿宋_GB2312" w:eastAsia="仿宋_GB2312" w:cs="仿宋_GB2312"/>
          <w:color w:val="auto"/>
          <w:sz w:val="32"/>
          <w:szCs w:val="32"/>
          <w:lang w:val="en-US" w:eastAsia="zh-CN"/>
        </w:rPr>
        <w:t>高校教师</w:t>
      </w:r>
      <w:r>
        <w:rPr>
          <w:rFonts w:hint="eastAsia" w:ascii="仿宋_GB2312" w:hAnsi="仿宋_GB2312" w:eastAsia="仿宋_GB2312" w:cs="仿宋_GB2312"/>
          <w:color w:val="auto"/>
          <w:sz w:val="32"/>
          <w:szCs w:val="32"/>
        </w:rPr>
        <w:t>的职业和岗位特点，坚持</w:t>
      </w:r>
      <w:r>
        <w:rPr>
          <w:rFonts w:hint="eastAsia" w:ascii="仿宋_GB2312" w:hAnsi="仿宋_GB2312" w:eastAsia="仿宋_GB2312" w:cs="仿宋_GB2312"/>
          <w:color w:val="auto"/>
          <w:sz w:val="32"/>
          <w:szCs w:val="32"/>
          <w:lang w:eastAsia="zh-CN"/>
        </w:rPr>
        <w:t>以德为先，</w:t>
      </w:r>
      <w:r>
        <w:rPr>
          <w:rFonts w:hint="eastAsia" w:ascii="仿宋_GB2312" w:hAnsi="仿宋_GB2312" w:eastAsia="仿宋_GB2312" w:cs="仿宋_GB2312"/>
          <w:color w:val="auto"/>
          <w:sz w:val="32"/>
          <w:szCs w:val="32"/>
        </w:rPr>
        <w:t>以能力和业绩为导向，通过讲课答辩更加科学、客观、公平、公正地评价</w:t>
      </w:r>
      <w:r>
        <w:rPr>
          <w:rFonts w:hint="eastAsia" w:ascii="仿宋_GB2312" w:hAnsi="仿宋_GB2312" w:eastAsia="仿宋_GB2312" w:cs="仿宋_GB2312"/>
          <w:color w:val="auto"/>
          <w:sz w:val="32"/>
          <w:szCs w:val="32"/>
          <w:lang w:val="en-US" w:eastAsia="zh-CN"/>
        </w:rPr>
        <w:t>高校</w:t>
      </w:r>
      <w:r>
        <w:rPr>
          <w:rFonts w:hint="eastAsia" w:ascii="仿宋_GB2312" w:hAnsi="仿宋_GB2312" w:eastAsia="仿宋_GB2312" w:cs="仿宋_GB2312"/>
          <w:color w:val="auto"/>
          <w:sz w:val="32"/>
          <w:szCs w:val="32"/>
        </w:rPr>
        <w:t>教师的教育教学能力和</w:t>
      </w:r>
      <w:r>
        <w:rPr>
          <w:rFonts w:hint="eastAsia" w:ascii="仿宋_GB2312" w:hAnsi="仿宋_GB2312" w:eastAsia="仿宋_GB2312" w:cs="仿宋_GB2312"/>
          <w:color w:val="auto"/>
          <w:sz w:val="32"/>
          <w:szCs w:val="32"/>
          <w:lang w:val="en-US" w:eastAsia="zh-CN"/>
        </w:rPr>
        <w:t>科研技术</w:t>
      </w:r>
      <w:r>
        <w:rPr>
          <w:rFonts w:hint="eastAsia" w:ascii="仿宋_GB2312" w:hAnsi="仿宋_GB2312" w:eastAsia="仿宋_GB2312" w:cs="仿宋_GB2312"/>
          <w:color w:val="auto"/>
          <w:sz w:val="32"/>
          <w:szCs w:val="32"/>
        </w:rPr>
        <w:t>水平。</w:t>
      </w:r>
    </w:p>
    <w:p>
      <w:pPr>
        <w:keepNext w:val="0"/>
        <w:keepLines w:val="0"/>
        <w:pageBreakBefore w:val="0"/>
        <w:widowControl w:val="0"/>
        <w:kinsoku/>
        <w:wordWrap/>
        <w:overflowPunct/>
        <w:topLinePunct w:val="0"/>
        <w:bidi w:val="0"/>
        <w:adjustRightInd w:val="0"/>
        <w:snapToGrid w:val="0"/>
        <w:spacing w:line="348" w:lineRule="auto"/>
        <w:ind w:lef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val="en-US" w:eastAsia="zh-CN"/>
        </w:rPr>
        <w:t>组织实施</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讲课答辩工作，分别委托各专业技术职务评审委员会相关学科组同行专家进行。每组一般由3-4名成员组成。答辩工作在评委会评审期间进行，具体时间由评委会确定。</w:t>
      </w:r>
    </w:p>
    <w:p>
      <w:pPr>
        <w:keepNext w:val="0"/>
        <w:keepLines w:val="0"/>
        <w:pageBreakBefore w:val="0"/>
        <w:widowControl w:val="0"/>
        <w:kinsoku/>
        <w:wordWrap/>
        <w:overflowPunct/>
        <w:topLinePunct w:val="0"/>
        <w:bidi w:val="0"/>
        <w:adjustRightInd w:val="0"/>
        <w:snapToGrid w:val="0"/>
        <w:spacing w:line="348" w:lineRule="auto"/>
        <w:ind w:left="0" w:firstLine="640" w:firstLineChars="200"/>
        <w:textAlignment w:val="auto"/>
        <w:rPr>
          <w:rFonts w:hint="default" w:ascii="黑体" w:hAnsi="黑体" w:eastAsia="黑体" w:cs="黑体"/>
          <w:b w:val="0"/>
          <w:bCs/>
          <w:color w:val="auto"/>
          <w:sz w:val="32"/>
          <w:szCs w:val="32"/>
          <w:lang w:val="en-US"/>
        </w:rPr>
      </w:pPr>
      <w:r>
        <w:rPr>
          <w:rFonts w:hint="eastAsia" w:ascii="黑体" w:hAnsi="黑体" w:eastAsia="黑体" w:cs="黑体"/>
          <w:b w:val="0"/>
          <w:bCs/>
          <w:color w:val="auto"/>
          <w:sz w:val="32"/>
          <w:szCs w:val="32"/>
          <w:lang w:val="en-US" w:eastAsia="zh-CN"/>
        </w:rPr>
        <w:t>四</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val="en-US" w:eastAsia="zh-CN"/>
        </w:rPr>
        <w:t>内容方法</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（一）对申报人进行有关问题及相关知识的答辩，测试其专业知识的掌握程度。实际工作中解决本专业学术、技术问题的能力及实际业务水平。针对以上内容出3道答辩题。</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讲课主要考察申报人员的教学能力，答辩主要考察申报人员所具备的理论基础、专业知识，涉及课堂教学思想、教育理论及讲课内容等方面的知识。讲课答辩时间高级为15分钟，其中讲课不超过10分钟，答辩5分钟；中级讲课答辩时间为12分钟，其中讲课不超过8分钟，答辩4分钟。</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（三）讲课内容由系统在申报人自行提供的教材中随机确定，即从正常教学应讲的教材中抽取一课。讲课答辩开始后，由工作人员按顺序逐一引导进入讲课答辩室。课本交考官。</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五、考场组织</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根据讲课答辩工作需要设置候考室、备课室、讲课答辩室、服务室等专用场所，候考室、备课室、讲课答辩室应相互隔离，避免相互影响。讲课答辩</w:t>
      </w:r>
      <w:r>
        <w:rPr>
          <w:rFonts w:hint="default" w:ascii="仿宋_GB2312" w:hAnsi="仿宋_GB2312" w:eastAsia="仿宋_GB2312" w:cs="仿宋_GB2312"/>
          <w:color w:val="auto"/>
          <w:sz w:val="32"/>
          <w:szCs w:val="32"/>
          <w:lang w:val="en-US" w:eastAsia="zh-CN"/>
        </w:rPr>
        <w:t>承办部门</w:t>
      </w:r>
      <w:r>
        <w:rPr>
          <w:rFonts w:hint="eastAsia" w:ascii="仿宋_GB2312" w:hAnsi="仿宋_GB2312" w:eastAsia="仿宋_GB2312" w:cs="仿宋_GB2312"/>
          <w:color w:val="auto"/>
          <w:sz w:val="32"/>
          <w:szCs w:val="32"/>
          <w:lang w:val="en-US" w:eastAsia="zh-CN"/>
        </w:rPr>
        <w:t>应为讲课答辩配备必要的工作人员并明确相应的岗位职责。工作人员应严格按照岗位职责开展工作，未经允许不得擅自脱离工作岗位。候考室、备课室、讲课答辩室工作人员工作期间不得串岗，未经允许不得相互接触。</w:t>
      </w:r>
    </w:p>
    <w:p>
      <w:pPr>
        <w:keepNext w:val="0"/>
        <w:keepLines w:val="0"/>
        <w:pageBreakBefore w:val="0"/>
        <w:widowControl w:val="0"/>
        <w:kinsoku/>
        <w:wordWrap/>
        <w:overflowPunct/>
        <w:topLinePunct w:val="0"/>
        <w:bidi w:val="0"/>
        <w:adjustRightInd w:val="0"/>
        <w:snapToGrid w:val="0"/>
        <w:spacing w:line="348" w:lineRule="auto"/>
        <w:ind w:left="0"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六</w:t>
      </w:r>
      <w:r>
        <w:rPr>
          <w:rFonts w:hint="eastAsia" w:ascii="黑体" w:hAnsi="黑体" w:eastAsia="黑体" w:cs="黑体"/>
          <w:b w:val="0"/>
          <w:bCs/>
          <w:color w:val="auto"/>
          <w:sz w:val="32"/>
          <w:szCs w:val="32"/>
        </w:rPr>
        <w:t>、答辩程序</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（一）题目准备。评审专家组专家集中后，须按照参评人员申报专业、业绩材料等内容讨论拟定3道题目（其中教学方面不少于1道），供答辩人抽题使用。</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（二）抽题。参评人员通过职称评审系统随机抽取讲课内容，并由本人签字确认。答辩题目由专家现场抽取。</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（三）备课。参评人员按照抽取题目进行备课，时间不超过30分钟。 </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（四）讲课答辩。参评人员按顺序进行讲课答辩。答辩过程中，专家还须根据参评人员讲课答辩内容进行随机提问，由参评人员现场回答。</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（五）专家评议。评审专家组根据参评人员的讲课答辩表现进行综合评价并打分。 </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（六）成绩公布。评委会</w:t>
      </w:r>
      <w:r>
        <w:rPr>
          <w:rFonts w:hint="default" w:ascii="仿宋_GB2312" w:hAnsi="仿宋_GB2312" w:eastAsia="仿宋_GB2312" w:cs="仿宋_GB2312"/>
          <w:color w:val="auto"/>
          <w:sz w:val="32"/>
          <w:szCs w:val="32"/>
          <w:lang w:val="en-US" w:eastAsia="zh-CN"/>
        </w:rPr>
        <w:t>结束后</w:t>
      </w:r>
      <w:r>
        <w:rPr>
          <w:rFonts w:hint="eastAsia" w:ascii="仿宋_GB2312" w:hAnsi="仿宋_GB2312" w:eastAsia="仿宋_GB2312" w:cs="仿宋_GB2312"/>
          <w:color w:val="auto"/>
          <w:sz w:val="32"/>
          <w:szCs w:val="32"/>
          <w:lang w:val="en-US" w:eastAsia="zh-CN"/>
        </w:rPr>
        <w:t>，讲课答辩成绩通过</w:t>
      </w:r>
      <w:r>
        <w:rPr>
          <w:rFonts w:hint="default" w:ascii="仿宋_GB2312" w:hAnsi="仿宋_GB2312" w:eastAsia="仿宋_GB2312" w:cs="仿宋_GB2312"/>
          <w:color w:val="auto"/>
          <w:sz w:val="32"/>
          <w:szCs w:val="32"/>
          <w:lang w:val="en-US" w:eastAsia="zh-CN"/>
        </w:rPr>
        <w:t>职称管理系统</w:t>
      </w:r>
      <w:r>
        <w:rPr>
          <w:rFonts w:hint="eastAsia" w:ascii="仿宋_GB2312" w:hAnsi="仿宋_GB2312" w:eastAsia="仿宋_GB2312" w:cs="仿宋_GB2312"/>
          <w:color w:val="auto"/>
          <w:sz w:val="32"/>
          <w:szCs w:val="32"/>
          <w:lang w:val="en-US" w:eastAsia="zh-CN"/>
        </w:rPr>
        <w:t>通知本人</w:t>
      </w:r>
      <w:r>
        <w:rPr>
          <w:rFonts w:hint="default" w:ascii="仿宋_GB2312" w:hAnsi="仿宋_GB2312" w:eastAsia="仿宋_GB2312" w:cs="仿宋_GB2312"/>
          <w:color w:val="auto"/>
          <w:sz w:val="32"/>
          <w:szCs w:val="32"/>
          <w:lang w:val="en-US" w:eastAsia="zh-CN"/>
        </w:rPr>
        <w:t>，确保申报人员知情权。</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七、评分及成绩应用</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每个申报人员讲课答辩结束后评委当场进行评分。讲课答辩总分100分，其中讲课70分，答辩30分。</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仿宋_GB2312" w:hAnsi="仿宋_GB2312" w:eastAsia="仿宋_GB2312" w:cs="仿宋_GB2312"/>
          <w:color w:val="auto"/>
          <w:sz w:val="32"/>
          <w:szCs w:val="32"/>
          <w:lang w:val="en-US" w:eastAsia="zh-CN"/>
        </w:rPr>
        <w:t>每考场讲课答辩结束后，所在考场各评委及时将参评人员成绩录入河南省职称管理系统。最终成绩按“优秀（85分以上</w:t>
      </w:r>
      <w:r>
        <w:rPr>
          <w:rFonts w:hint="default" w:ascii="仿宋_GB2312" w:hAnsi="仿宋_GB2312" w:eastAsia="仿宋_GB2312" w:cs="仿宋_GB2312"/>
          <w:color w:val="auto"/>
          <w:sz w:val="32"/>
          <w:szCs w:val="32"/>
          <w:lang w:val="en-US" w:eastAsia="zh-CN"/>
        </w:rPr>
        <w:t>且位居10%</w:t>
      </w:r>
      <w:r>
        <w:rPr>
          <w:rFonts w:hint="eastAsia" w:ascii="仿宋_GB2312" w:hAnsi="仿宋_GB2312" w:eastAsia="仿宋_GB2312" w:cs="仿宋_GB2312"/>
          <w:color w:val="auto"/>
          <w:sz w:val="32"/>
          <w:szCs w:val="32"/>
          <w:lang w:val="en-US" w:eastAsia="zh-CN"/>
        </w:rPr>
        <w:t>）、良好（75分以上）、合格（60分以上）、不合格（不满60分）”四档评议。讲课答辩最终成绩60分以下人员直接淘汰。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8" w:lineRule="auto"/>
        <w:ind w:leftChars="0" w:firstLine="640" w:firstLineChars="200"/>
        <w:jc w:val="both"/>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八、纪律要求</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监督。讲课答辩工作应主动接受纪委的监督。候考室、备课室、讲课答辩室应设置监督员。监督人员应严格遵守讲课答辩工作纪律和保密规定，不得与应试者单独接触，不得以任何方式违规向评委和工作人员施加影响。</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（二）回避。参与讲课答辩工作的人员凡与应试者有法律规定的直系亲属关系的要实行回避。</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违纪处理。应试者违反讲课答辩工作纪律的取消讲课答辩资格，有严重违纪行为者按照省纪委、省监察厅、省人事厅《关于进一步严肃职称工作纪律的通知》（豫人〔2002〕30号）和《河南省职称评聘工作责任追究办法》（豫人社职称〔2013〕18号）等有关规定进行处理。</w:t>
      </w:r>
    </w:p>
    <w:p>
      <w:pPr>
        <w:keepNext w:val="0"/>
        <w:keepLines w:val="0"/>
        <w:pageBreakBefore w:val="0"/>
        <w:widowControl w:val="0"/>
        <w:kinsoku/>
        <w:wordWrap/>
        <w:overflowPunct/>
        <w:topLinePunct w:val="0"/>
        <w:autoSpaceDE/>
        <w:autoSpaceDN/>
        <w:bidi w:val="0"/>
        <w:adjustRightInd w:val="0"/>
        <w:snapToGrid w:val="0"/>
        <w:spacing w:line="348" w:lineRule="auto"/>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（四）讲课答辩评委及工作人员违反工作纪律的，按照有关规定严肃处理，构成犯罪的移送司法机关处理。</w:t>
      </w:r>
    </w:p>
    <w:p>
      <w:pPr>
        <w:pStyle w:val="2"/>
        <w:rPr>
          <w:rFonts w:hint="default"/>
          <w:color w:val="auto"/>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11"/>
        <w:rPr>
          <w:rFonts w:hint="eastAsia"/>
          <w:color w:val="auto"/>
          <w:sz w:val="72"/>
          <w:szCs w:val="72"/>
          <w:lang w:val="en-US" w:eastAsia="zh-CN"/>
        </w:rPr>
      </w:pPr>
    </w:p>
    <w:p>
      <w:pPr>
        <w:rPr>
          <w:rFonts w:hint="eastAsia"/>
          <w:color w:val="auto"/>
          <w:sz w:val="72"/>
          <w:szCs w:val="72"/>
          <w:lang w:val="en-US" w:eastAsia="zh-CN"/>
        </w:rPr>
      </w:pPr>
    </w:p>
    <w:p>
      <w:pPr>
        <w:pStyle w:val="2"/>
        <w:rPr>
          <w:rFonts w:hint="eastAsia"/>
          <w:color w:val="auto"/>
          <w:sz w:val="56"/>
          <w:szCs w:val="56"/>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48" w:lineRule="auto"/>
        <w:ind w:right="0"/>
        <w:jc w:val="both"/>
        <w:textAlignment w:val="auto"/>
        <w:rPr>
          <w:rFonts w:hint="eastAsia" w:ascii="方正小标宋简体" w:eastAsia="方正小标宋简体"/>
          <w:color w:val="auto"/>
          <w:sz w:val="32"/>
        </w:rPr>
      </w:pPr>
      <w:r>
        <w:rPr>
          <w:rFonts w:ascii="黑体" w:eastAsia="黑体"/>
          <w:b/>
          <w:bCs/>
          <w:color w:val="auto"/>
          <w:sz w:val="20"/>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338455</wp:posOffset>
                </wp:positionV>
                <wp:extent cx="5711190" cy="63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7111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95pt;margin-top:26.65pt;height:0.05pt;width:449.7pt;z-index:251660288;mso-width-relative:page;mso-height-relative:page;" filled="f" stroked="t" coordsize="21600,21600" o:gfxdata="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BTphzYAAAACQEAAA8AAAAAAAAAAQAgAAAAIgAAAGRycy9kb3ducmV2LnhtbFBL&#10;AQIUABQAAAAIAIdO4kBZpsCq9gEAAOgDAAAOAAAAAAAAAAEAIAAAACcBAABkcnMvZTJvRG9jLnht&#10;bFBLBQYAAAAABgAGAFkBAACPBQAAAAA=&#10;">
                <v:fill on="f" focussize="0,0"/>
                <v:stroke color="#000000" joinstyle="round"/>
                <v:imagedata o:title=""/>
                <o:lock v:ext="edit" aspectratio="f"/>
              </v:line>
            </w:pict>
          </mc:Fallback>
        </mc:AlternateContent>
      </w:r>
    </w:p>
    <w:p>
      <w:pPr>
        <w:adjustRightInd w:val="0"/>
        <w:snapToGrid w:val="0"/>
        <w:spacing w:line="360" w:lineRule="auto"/>
        <w:rPr>
          <w:rFonts w:hint="eastAsia" w:eastAsia="宋体"/>
          <w:lang w:val="en-US" w:eastAsia="zh-CN"/>
        </w:rPr>
      </w:pPr>
      <w:r>
        <w:rPr>
          <w:rFonts w:hint="eastAsia" w:ascii="仿宋_GB2312" w:hAnsi="仿宋_GB2312" w:eastAsia="仿宋_GB2312" w:cs="仿宋_GB2312"/>
          <w:color w:val="auto"/>
          <w:spacing w:val="-10"/>
          <w:sz w:val="28"/>
          <w:szCs w:val="28"/>
        </w:rPr>
        <mc:AlternateContent>
          <mc:Choice Requires="wps">
            <w:drawing>
              <wp:anchor distT="0" distB="0" distL="114300" distR="114300" simplePos="0" relativeHeight="251661312" behindDoc="0" locked="0" layoutInCell="1" allowOverlap="1">
                <wp:simplePos x="0" y="0"/>
                <wp:positionH relativeFrom="column">
                  <wp:posOffset>-215265</wp:posOffset>
                </wp:positionH>
                <wp:positionV relativeFrom="paragraph">
                  <wp:posOffset>330200</wp:posOffset>
                </wp:positionV>
                <wp:extent cx="5710555"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71055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95pt;margin-top:26pt;height:0.05pt;width:449.65pt;z-index:251661312;mso-width-relative:page;mso-height-relative:page;" filled="f" stroked="t" coordsize="21600,21600" o:gfxdata="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ktfN2AAAAAkBAAAPAAAAAAAAAAEAIAAAACIAAABkcnMvZG93bnJldi54bWxQ&#10;SwECFAAUAAAACACHTuJAB1TGlPcBAADoAwAADgAAAAAAAAABACAAAAAnAQAAZHJzL2Uyb0RvYy54&#10;bWxQSwUGAAAAAAYABgBZAQAAkA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pacing w:val="-10"/>
          <w:sz w:val="28"/>
          <w:szCs w:val="28"/>
        </w:rPr>
        <w:t>郑州工商学院</w:t>
      </w:r>
      <w:r>
        <w:rPr>
          <w:rFonts w:hint="eastAsia" w:ascii="仿宋_GB2312" w:hAnsi="仿宋_GB2312" w:eastAsia="仿宋_GB2312" w:cs="仿宋_GB2312"/>
          <w:color w:val="auto"/>
          <w:spacing w:val="-10"/>
          <w:sz w:val="28"/>
          <w:szCs w:val="28"/>
          <w:lang w:eastAsia="zh-CN"/>
        </w:rPr>
        <w:t>党政</w:t>
      </w:r>
      <w:r>
        <w:rPr>
          <w:rFonts w:hint="eastAsia" w:ascii="仿宋_GB2312" w:hAnsi="仿宋_GB2312" w:eastAsia="仿宋_GB2312" w:cs="仿宋_GB2312"/>
          <w:color w:val="auto"/>
          <w:spacing w:val="-10"/>
          <w:sz w:val="28"/>
          <w:szCs w:val="28"/>
        </w:rPr>
        <w:t>办公室</w:t>
      </w:r>
      <w:r>
        <w:rPr>
          <w:rFonts w:hint="eastAsia" w:ascii="仿宋_GB2312" w:hAnsi="仿宋_GB2312" w:eastAsia="仿宋_GB2312" w:cs="仿宋_GB2312"/>
          <w:color w:val="auto"/>
          <w:spacing w:val="-6"/>
          <w:sz w:val="28"/>
          <w:szCs w:val="28"/>
        </w:rPr>
        <w:t xml:space="preserve">         </w:t>
      </w:r>
      <w:r>
        <w:rPr>
          <w:rFonts w:hint="eastAsia" w:ascii="仿宋_GB2312" w:hAnsi="仿宋_GB2312" w:eastAsia="仿宋_GB2312" w:cs="仿宋_GB2312"/>
          <w:color w:val="auto"/>
          <w:spacing w:val="-6"/>
          <w:sz w:val="28"/>
          <w:szCs w:val="28"/>
          <w:lang w:val="en-US" w:eastAsia="zh-CN"/>
        </w:rPr>
        <w:t xml:space="preserve">       </w:t>
      </w:r>
      <w:r>
        <w:rPr>
          <w:rFonts w:hint="eastAsia" w:ascii="仿宋_GB2312" w:hAnsi="仿宋_GB2312" w:eastAsia="仿宋_GB2312" w:cs="仿宋_GB2312"/>
          <w:color w:val="auto"/>
          <w:spacing w:val="-6"/>
          <w:sz w:val="28"/>
          <w:szCs w:val="28"/>
        </w:rPr>
        <w:t xml:space="preserve"> </w:t>
      </w:r>
      <w:r>
        <w:rPr>
          <w:rFonts w:hint="eastAsia" w:ascii="仿宋_GB2312" w:hAnsi="仿宋_GB2312" w:eastAsia="仿宋_GB2312" w:cs="仿宋_GB2312"/>
          <w:color w:val="auto"/>
          <w:spacing w:val="-6"/>
          <w:sz w:val="28"/>
          <w:szCs w:val="28"/>
          <w:lang w:val="en-US" w:eastAsia="zh-CN"/>
        </w:rPr>
        <w:t xml:space="preserve"> </w:t>
      </w:r>
      <w:r>
        <w:rPr>
          <w:rFonts w:hint="eastAsia" w:ascii="仿宋_GB2312" w:hAnsi="仿宋_GB2312" w:eastAsia="仿宋_GB2312" w:cs="仿宋_GB2312"/>
          <w:color w:val="auto"/>
          <w:spacing w:val="-6"/>
          <w:sz w:val="28"/>
          <w:szCs w:val="28"/>
        </w:rPr>
        <w:t xml:space="preserve"> </w:t>
      </w:r>
      <w:r>
        <w:rPr>
          <w:rFonts w:hint="eastAsia" w:ascii="仿宋_GB2312" w:hAnsi="仿宋_GB2312" w:eastAsia="仿宋_GB2312" w:cs="仿宋_GB2312"/>
          <w:color w:val="auto"/>
          <w:spacing w:val="-6"/>
          <w:sz w:val="28"/>
          <w:szCs w:val="28"/>
          <w:lang w:val="en-US" w:eastAsia="zh-CN"/>
        </w:rPr>
        <w:t xml:space="preserve">  </w:t>
      </w:r>
      <w:r>
        <w:rPr>
          <w:rFonts w:hint="eastAsia" w:ascii="仿宋_GB2312" w:hAnsi="仿宋_GB2312" w:eastAsia="仿宋_GB2312" w:cs="仿宋_GB2312"/>
          <w:color w:val="auto"/>
          <w:spacing w:val="-6"/>
          <w:sz w:val="28"/>
          <w:szCs w:val="28"/>
        </w:rPr>
        <w:t xml:space="preserve">  </w:t>
      </w:r>
      <w:r>
        <w:rPr>
          <w:rFonts w:hint="eastAsia" w:ascii="仿宋_GB2312" w:hAnsi="仿宋_GB2312" w:eastAsia="仿宋_GB2312" w:cs="仿宋_GB2312"/>
          <w:color w:val="auto"/>
          <w:spacing w:val="-6"/>
          <w:sz w:val="28"/>
          <w:szCs w:val="28"/>
          <w:lang w:val="en-US" w:eastAsia="zh-CN"/>
        </w:rPr>
        <w:t xml:space="preserve"> </w:t>
      </w:r>
      <w:r>
        <w:rPr>
          <w:rFonts w:hint="eastAsia" w:ascii="仿宋_GB2312" w:hAnsi="仿宋_GB2312" w:eastAsia="仿宋_GB2312" w:cs="仿宋_GB2312"/>
          <w:color w:val="auto"/>
          <w:spacing w:val="-10"/>
          <w:sz w:val="28"/>
          <w:szCs w:val="28"/>
        </w:rPr>
        <w:t>20</w:t>
      </w:r>
      <w:r>
        <w:rPr>
          <w:rFonts w:hint="eastAsia" w:ascii="仿宋_GB2312" w:hAnsi="仿宋_GB2312" w:eastAsia="仿宋_GB2312" w:cs="仿宋_GB2312"/>
          <w:color w:val="auto"/>
          <w:spacing w:val="-10"/>
          <w:sz w:val="28"/>
          <w:szCs w:val="28"/>
          <w:lang w:val="en-US" w:eastAsia="zh-CN"/>
        </w:rPr>
        <w:t>23</w:t>
      </w:r>
      <w:r>
        <w:rPr>
          <w:rFonts w:hint="eastAsia" w:ascii="仿宋_GB2312" w:hAnsi="仿宋_GB2312" w:eastAsia="仿宋_GB2312" w:cs="仿宋_GB2312"/>
          <w:color w:val="auto"/>
          <w:spacing w:val="-10"/>
          <w:sz w:val="28"/>
          <w:szCs w:val="28"/>
        </w:rPr>
        <w:t>年</w:t>
      </w:r>
      <w:r>
        <w:rPr>
          <w:rFonts w:hint="eastAsia" w:ascii="仿宋_GB2312" w:hAnsi="仿宋_GB2312" w:eastAsia="仿宋_GB2312" w:cs="仿宋_GB2312"/>
          <w:color w:val="auto"/>
          <w:spacing w:val="-10"/>
          <w:sz w:val="28"/>
          <w:szCs w:val="28"/>
          <w:lang w:val="en-US" w:eastAsia="zh-CN"/>
        </w:rPr>
        <w:t>6</w:t>
      </w:r>
      <w:r>
        <w:rPr>
          <w:rFonts w:hint="eastAsia" w:ascii="仿宋_GB2312" w:hAnsi="仿宋_GB2312" w:eastAsia="仿宋_GB2312" w:cs="仿宋_GB2312"/>
          <w:color w:val="auto"/>
          <w:spacing w:val="-10"/>
          <w:sz w:val="28"/>
          <w:szCs w:val="28"/>
        </w:rPr>
        <w:t>月</w:t>
      </w:r>
      <w:r>
        <w:rPr>
          <w:rFonts w:hint="eastAsia" w:ascii="仿宋_GB2312" w:hAnsi="仿宋_GB2312" w:eastAsia="仿宋_GB2312" w:cs="仿宋_GB2312"/>
          <w:color w:val="auto"/>
          <w:spacing w:val="-10"/>
          <w:sz w:val="28"/>
          <w:szCs w:val="28"/>
          <w:lang w:val="en-US" w:eastAsia="zh-CN"/>
        </w:rPr>
        <w:t>7</w:t>
      </w:r>
      <w:r>
        <w:rPr>
          <w:rFonts w:hint="eastAsia" w:ascii="仿宋_GB2312" w:hAnsi="仿宋_GB2312" w:eastAsia="仿宋_GB2312" w:cs="仿宋_GB2312"/>
          <w:color w:val="auto"/>
          <w:spacing w:val="-10"/>
          <w:sz w:val="28"/>
          <w:szCs w:val="28"/>
        </w:rPr>
        <w:t>日印发</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eastAsia="宋体" w:cs="宋体"/>
                              <w:sz w:val="28"/>
                              <w:szCs w:val="28"/>
                              <w:lang w:eastAsia="zh-CN"/>
                            </w:rPr>
                            <w:t>—</w:t>
                          </w:r>
                        </w:p>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eastAsia="宋体" w:cs="宋体"/>
                        <w:sz w:val="28"/>
                        <w:szCs w:val="28"/>
                        <w:lang w:eastAsia="zh-CN"/>
                      </w:rPr>
                      <w:t>—</w:t>
                    </w:r>
                  </w:p>
                  <w:p>
                    <w:pPr>
                      <w:pStyle w:val="4"/>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CD3295"/>
    <w:multiLevelType w:val="singleLevel"/>
    <w:tmpl w:val="A9CD3295"/>
    <w:lvl w:ilvl="0" w:tentative="0">
      <w:start w:val="2"/>
      <w:numFmt w:val="chineseCounting"/>
      <w:suff w:val="nothing"/>
      <w:lvlText w:val="%1、"/>
      <w:lvlJc w:val="left"/>
      <w:rPr>
        <w:rFonts w:hint="eastAsia"/>
      </w:rPr>
    </w:lvl>
  </w:abstractNum>
  <w:abstractNum w:abstractNumId="1">
    <w:nsid w:val="F117723A"/>
    <w:multiLevelType w:val="singleLevel"/>
    <w:tmpl w:val="F117723A"/>
    <w:lvl w:ilvl="0" w:tentative="0">
      <w:start w:val="1"/>
      <w:numFmt w:val="decimal"/>
      <w:suff w:val="nothing"/>
      <w:lvlText w:val="%1．"/>
      <w:lvlJc w:val="left"/>
      <w:pPr>
        <w:ind w:left="0" w:firstLine="400"/>
      </w:pPr>
      <w:rPr>
        <w:rFonts w:hint="default"/>
      </w:rPr>
    </w:lvl>
  </w:abstractNum>
  <w:abstractNum w:abstractNumId="2">
    <w:nsid w:val="F318BADC"/>
    <w:multiLevelType w:val="singleLevel"/>
    <w:tmpl w:val="F318BADC"/>
    <w:lvl w:ilvl="0" w:tentative="0">
      <w:start w:val="1"/>
      <w:numFmt w:val="chineseCounting"/>
      <w:suff w:val="nothing"/>
      <w:lvlText w:val="（%1）"/>
      <w:lvlJc w:val="left"/>
      <w:rPr>
        <w:rFonts w:hint="eastAsia"/>
        <w:b/>
        <w:bCs/>
      </w:rPr>
    </w:lvl>
  </w:abstractNum>
  <w:abstractNum w:abstractNumId="3">
    <w:nsid w:val="59F72D8C"/>
    <w:multiLevelType w:val="singleLevel"/>
    <w:tmpl w:val="59F72D8C"/>
    <w:lvl w:ilvl="0" w:tentative="0">
      <w:start w:val="2"/>
      <w:numFmt w:val="chineseCounting"/>
      <w:suff w:val="nothing"/>
      <w:lvlText w:val="（%1）"/>
      <w:lvlJc w:val="left"/>
      <w:rPr>
        <w:rFonts w:hint="eastAsia"/>
        <w:b/>
        <w:bCs/>
      </w:rPr>
    </w:lvl>
  </w:abstractNum>
  <w:abstractNum w:abstractNumId="4">
    <w:nsid w:val="7C40DA10"/>
    <w:multiLevelType w:val="singleLevel"/>
    <w:tmpl w:val="7C40DA10"/>
    <w:lvl w:ilvl="0" w:tentative="0">
      <w:start w:val="3"/>
      <w:numFmt w:val="chineseCounting"/>
      <w:suff w:val="nothing"/>
      <w:lvlText w:val="%1、"/>
      <w:lvlJc w:val="left"/>
      <w:rPr>
        <w:rFonts w:hint="eastAsia"/>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ZTA3NWIwMTU3NGNjMmFkMjM2MmJlMzBmNzE3N2IifQ=="/>
  </w:docVars>
  <w:rsids>
    <w:rsidRoot w:val="228B7BE7"/>
    <w:rsid w:val="10DB655C"/>
    <w:rsid w:val="228B7BE7"/>
    <w:rsid w:val="2D611E35"/>
    <w:rsid w:val="33C82A98"/>
    <w:rsid w:val="33EE3733"/>
    <w:rsid w:val="456617A7"/>
    <w:rsid w:val="457F12FE"/>
    <w:rsid w:val="4B5E5379"/>
    <w:rsid w:val="5CA64E28"/>
    <w:rsid w:val="67BF5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ind w:left="108"/>
      <w:outlineLvl w:val="1"/>
    </w:pPr>
    <w:rPr>
      <w:rFonts w:ascii="楷体_GB2312" w:hAnsi="楷体_GB2312" w:eastAsia="楷体_GB2312" w:cs="楷体_GB2312"/>
      <w:b/>
      <w:bCs/>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jc w:val="left"/>
    </w:pPr>
    <w:rPr>
      <w:rFonts w:ascii="Arial Unicode MS" w:hAnsi="Arial Unicode MS" w:eastAsia="Arial Unicode MS" w:cs="Arial Unicode MS"/>
      <w:color w:val="000000"/>
      <w:kern w:val="0"/>
      <w:sz w:val="24"/>
      <w:lang w:val="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rFonts w:ascii="Times New Roman" w:hAnsi="Times New Roman" w:eastAsia="宋体" w:cs="Times New Roman"/>
      <w:b/>
    </w:rPr>
  </w:style>
  <w:style w:type="paragraph" w:customStyle="1" w:styleId="9">
    <w:name w:val="正文标题"/>
    <w:basedOn w:val="1"/>
    <w:qFormat/>
    <w:uiPriority w:val="0"/>
    <w:pPr>
      <w:jc w:val="center"/>
    </w:pPr>
    <w:rPr>
      <w:rFonts w:ascii="方正小标宋简体" w:hAnsi="方正小标宋简体" w:eastAsia="方正小标宋简体"/>
      <w:sz w:val="36"/>
    </w:rPr>
  </w:style>
  <w:style w:type="character" w:customStyle="1" w:styleId="10">
    <w:name w:val="dash6b63_6587__char"/>
    <w:qFormat/>
    <w:uiPriority w:val="0"/>
  </w:style>
  <w:style w:type="paragraph" w:customStyle="1" w:styleId="11">
    <w:name w:val="Heading2"/>
    <w:basedOn w:val="1"/>
    <w:next w:val="1"/>
    <w:qFormat/>
    <w:uiPriority w:val="99"/>
    <w:pPr>
      <w:ind w:left="110"/>
    </w:pPr>
    <w:rPr>
      <w:rFonts w:ascii="宋体" w:hAnsi="宋体"/>
      <w:sz w:val="62"/>
      <w:szCs w:val="62"/>
    </w:rPr>
  </w:style>
  <w:style w:type="paragraph" w:customStyle="1" w:styleId="12">
    <w:name w:val="UserStyle_0"/>
    <w:basedOn w:val="1"/>
    <w:next w:val="1"/>
    <w:qFormat/>
    <w:uiPriority w:val="0"/>
    <w:pPr>
      <w:ind w:left="110"/>
      <w:textAlignment w:val="baseline"/>
    </w:pPr>
    <w:rPr>
      <w:rFonts w:ascii="宋体" w:hAnsi="宋体" w:eastAsia="宋体"/>
      <w:sz w:val="62"/>
      <w:szCs w:val="6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5083</Words>
  <Characters>5131</Characters>
  <Lines>0</Lines>
  <Paragraphs>0</Paragraphs>
  <TotalTime>25</TotalTime>
  <ScaleCrop>false</ScaleCrop>
  <LinksUpToDate>false</LinksUpToDate>
  <CharactersWithSpaces>5175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2023-11-06T06:19:00Z</dcterms:created>
  <dc:creator>郑州工商-方昉</dc:creator>
  <cp:lastModifiedBy>高高</cp:lastModifiedBy>
  <dcterms:modified xsi:type="dcterms:W3CDTF">2023-11-08T08:21:17Z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C06487DC4975418394860D4592A23E57_13</vt:lpwstr>
  </property>
</Properties>
</file>